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C93A2">
      <w:pPr>
        <w:ind w:firstLine="7350" w:firstLineChars="3500"/>
        <w:rPr>
          <w:rFonts w:hint="eastAsia" w:ascii="仿宋_GB2312" w:eastAsia="仿宋_GB2312"/>
        </w:rPr>
      </w:pPr>
    </w:p>
    <w:p w14:paraId="5E8AFA1B">
      <w:pPr>
        <w:jc w:val="center"/>
        <w:rPr>
          <w:rFonts w:hint="eastAsia" w:ascii="仿宋_GB2312" w:eastAsia="仿宋_GB2312"/>
          <w:sz w:val="52"/>
        </w:rPr>
      </w:pPr>
    </w:p>
    <w:p w14:paraId="77F10EDA">
      <w:pPr>
        <w:jc w:val="center"/>
        <w:rPr>
          <w:rFonts w:hint="eastAsia" w:ascii="仿宋_GB2312" w:eastAsia="仿宋_GB2312"/>
          <w:b/>
          <w:bCs/>
          <w:sz w:val="72"/>
        </w:rPr>
      </w:pPr>
      <w:r>
        <w:rPr>
          <w:rFonts w:hint="eastAsia" w:ascii="仿宋_GB2312" w:eastAsia="仿宋_GB2312"/>
          <w:b/>
          <w:bCs/>
          <w:sz w:val="72"/>
        </w:rPr>
        <w:t>CTC产品认证合同书</w:t>
      </w:r>
    </w:p>
    <w:p w14:paraId="513C7384">
      <w:pPr>
        <w:jc w:val="center"/>
        <w:rPr>
          <w:rFonts w:hint="eastAsia" w:ascii="仿宋_GB2312" w:eastAsia="仿宋_GB2312"/>
          <w:sz w:val="28"/>
        </w:rPr>
      </w:pPr>
      <w:r>
        <w:rPr>
          <w:rFonts w:hint="eastAsia" w:ascii="仿宋_GB2312" w:eastAsia="仿宋_GB2312"/>
          <w:b/>
          <w:bCs/>
          <w:sz w:val="36"/>
          <w:szCs w:val="36"/>
          <w:lang w:val="en-US" w:eastAsia="zh-CN"/>
        </w:rPr>
        <w:t>建筑节能用中空玻璃</w:t>
      </w:r>
    </w:p>
    <w:p w14:paraId="0396C307">
      <w:pPr>
        <w:ind w:firstLine="840" w:firstLineChars="300"/>
        <w:rPr>
          <w:rFonts w:hint="eastAsia" w:ascii="仿宋_GB2312" w:eastAsia="仿宋_GB2312"/>
          <w:sz w:val="28"/>
        </w:rPr>
      </w:pPr>
    </w:p>
    <w:p w14:paraId="4F450A36">
      <w:pPr>
        <w:ind w:firstLine="840" w:firstLineChars="300"/>
        <w:rPr>
          <w:rFonts w:hint="eastAsia" w:ascii="仿宋_GB2312" w:eastAsia="仿宋_GB2312"/>
          <w:sz w:val="28"/>
        </w:rPr>
      </w:pPr>
    </w:p>
    <w:p w14:paraId="2D4E6A71">
      <w:pPr>
        <w:ind w:firstLine="840" w:firstLineChars="300"/>
        <w:rPr>
          <w:rFonts w:hint="eastAsia" w:ascii="仿宋_GB2312" w:eastAsia="仿宋_GB2312"/>
          <w:sz w:val="28"/>
        </w:rPr>
      </w:pPr>
    </w:p>
    <w:p w14:paraId="5C763595">
      <w:pPr>
        <w:ind w:firstLine="840" w:firstLineChars="300"/>
        <w:rPr>
          <w:rFonts w:hint="eastAsia" w:ascii="仿宋_GB2312" w:eastAsia="仿宋_GB2312"/>
          <w:sz w:val="28"/>
        </w:rPr>
      </w:pPr>
    </w:p>
    <w:p w14:paraId="4044B492">
      <w:pPr>
        <w:ind w:firstLine="840" w:firstLineChars="300"/>
        <w:rPr>
          <w:rFonts w:hint="eastAsia" w:ascii="仿宋_GB2312" w:eastAsia="仿宋_GB2312"/>
          <w:sz w:val="28"/>
        </w:rPr>
      </w:pPr>
    </w:p>
    <w:p w14:paraId="430B4DF8">
      <w:pPr>
        <w:ind w:firstLine="840" w:firstLineChars="300"/>
        <w:rPr>
          <w:rFonts w:hint="eastAsia" w:ascii="仿宋_GB2312" w:eastAsia="仿宋_GB2312"/>
          <w:sz w:val="28"/>
        </w:rPr>
      </w:pPr>
    </w:p>
    <w:p w14:paraId="3867B341">
      <w:pPr>
        <w:ind w:firstLine="840" w:firstLineChars="300"/>
        <w:rPr>
          <w:rFonts w:hint="eastAsia" w:ascii="仿宋_GB2312" w:eastAsia="仿宋_GB2312"/>
          <w:sz w:val="28"/>
        </w:rPr>
      </w:pPr>
    </w:p>
    <w:p w14:paraId="4B71F67B">
      <w:pPr>
        <w:ind w:firstLine="840" w:firstLineChars="300"/>
        <w:rPr>
          <w:rFonts w:hint="eastAsia" w:ascii="仿宋_GB2312" w:eastAsia="仿宋_GB2312"/>
          <w:sz w:val="28"/>
        </w:rPr>
      </w:pPr>
    </w:p>
    <w:p w14:paraId="70F285D9">
      <w:pPr>
        <w:ind w:firstLine="840" w:firstLineChars="300"/>
        <w:rPr>
          <w:rFonts w:hint="eastAsia" w:ascii="仿宋_GB2312" w:eastAsia="仿宋_GB2312"/>
          <w:sz w:val="28"/>
        </w:rPr>
      </w:pPr>
    </w:p>
    <w:p w14:paraId="37923E0C">
      <w:pPr>
        <w:ind w:firstLine="840" w:firstLineChars="300"/>
        <w:rPr>
          <w:rFonts w:hint="eastAsia" w:ascii="仿宋_GB2312" w:eastAsia="仿宋_GB2312"/>
          <w:sz w:val="32"/>
          <w:szCs w:val="32"/>
        </w:rPr>
      </w:pPr>
      <w:r>
        <w:rPr>
          <w:rFonts w:hint="eastAsia" w:ascii="仿宋_GB2312" w:eastAsia="仿宋_GB2312"/>
          <w:sz w:val="28"/>
        </w:rPr>
        <w:t xml:space="preserve">申请企业     </w:t>
      </w:r>
    </w:p>
    <w:p w14:paraId="115D6516">
      <w:pPr>
        <w:rPr>
          <w:rFonts w:hint="eastAsia" w:ascii="仿宋_GB2312" w:eastAsia="仿宋_GB2312"/>
          <w:sz w:val="28"/>
          <w:u w:val="single"/>
        </w:rPr>
      </w:pPr>
      <w:r>
        <w:rPr>
          <w:rFonts w:hint="eastAsia" w:ascii="仿宋_GB2312" w:eastAsia="仿宋_GB2312"/>
          <w:sz w:val="28"/>
        </w:rPr>
        <w:t xml:space="preserve">      （甲方）</w:t>
      </w:r>
      <w:r>
        <w:rPr>
          <w:rFonts w:ascii="仿宋_GB2312" w:eastAsia="仿宋_GB2312"/>
          <w:sz w:val="28"/>
        </w:rPr>
        <w:t xml:space="preserve"> </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42DE8342">
      <w:pPr>
        <w:rPr>
          <w:rFonts w:hint="eastAsia" w:ascii="仿宋_GB2312" w:eastAsia="仿宋_GB2312"/>
          <w:sz w:val="28"/>
          <w:u w:val="single"/>
        </w:rPr>
      </w:pPr>
    </w:p>
    <w:p w14:paraId="3D3A0863">
      <w:pPr>
        <w:rPr>
          <w:rFonts w:hint="eastAsia" w:ascii="仿宋_GB2312" w:eastAsia="仿宋_GB2312"/>
          <w:sz w:val="28"/>
          <w:u w:val="single"/>
        </w:rPr>
      </w:pPr>
    </w:p>
    <w:p w14:paraId="049B1FED">
      <w:pPr>
        <w:rPr>
          <w:rFonts w:hint="eastAsia" w:ascii="仿宋_GB2312" w:eastAsia="仿宋_GB2312"/>
          <w:sz w:val="28"/>
          <w:u w:val="single"/>
        </w:rPr>
      </w:pPr>
    </w:p>
    <w:p w14:paraId="4848847E">
      <w:pPr>
        <w:rPr>
          <w:rFonts w:hint="eastAsia" w:ascii="仿宋_GB2312" w:eastAsia="仿宋_GB2312"/>
          <w:sz w:val="28"/>
          <w:u w:val="single"/>
        </w:rPr>
      </w:pPr>
    </w:p>
    <w:p w14:paraId="71309B3E">
      <w:pPr>
        <w:rPr>
          <w:rFonts w:hint="eastAsia" w:ascii="仿宋_GB2312" w:eastAsia="仿宋_GB2312"/>
          <w:sz w:val="28"/>
          <w:u w:val="single"/>
        </w:rPr>
      </w:pPr>
    </w:p>
    <w:p w14:paraId="5F2D0DEA">
      <w:pPr>
        <w:rPr>
          <w:rFonts w:hint="eastAsia" w:ascii="仿宋_GB2312" w:eastAsia="仿宋_GB2312"/>
          <w:sz w:val="28"/>
        </w:rPr>
      </w:pPr>
    </w:p>
    <w:p w14:paraId="017E1EF4">
      <w:pPr>
        <w:ind w:firstLine="840" w:firstLineChars="300"/>
        <w:rPr>
          <w:rFonts w:hint="eastAsia" w:ascii="仿宋_GB2312" w:eastAsia="仿宋_GB2312"/>
          <w:sz w:val="28"/>
        </w:rPr>
      </w:pPr>
      <w:r>
        <w:rPr>
          <w:rFonts w:hint="eastAsia" w:ascii="仿宋_GB2312" w:eastAsia="仿宋_GB2312"/>
          <w:sz w:val="28"/>
        </w:rPr>
        <w:t xml:space="preserve">认证机构     </w:t>
      </w:r>
      <w:r>
        <w:rPr>
          <w:rFonts w:hint="eastAsia" w:ascii="仿宋_GB2312" w:eastAsia="仿宋_GB2312"/>
          <w:b/>
          <w:sz w:val="32"/>
          <w:u w:val="single"/>
        </w:rPr>
        <w:t>中国国检测试控股集团股份有限公司</w:t>
      </w:r>
    </w:p>
    <w:p w14:paraId="436D63FE">
      <w:pPr>
        <w:jc w:val="left"/>
        <w:rPr>
          <w:rFonts w:hint="eastAsia" w:ascii="仿宋_GB2312" w:eastAsia="仿宋_GB2312"/>
          <w:sz w:val="28"/>
          <w:u w:val="single"/>
        </w:rPr>
      </w:pPr>
      <w:r>
        <w:rPr>
          <w:rFonts w:hint="eastAsia" w:ascii="仿宋_GB2312" w:eastAsia="仿宋_GB2312"/>
          <w:sz w:val="28"/>
        </w:rPr>
        <w:t xml:space="preserve">      （乙方）</w:t>
      </w:r>
      <w:r>
        <w:rPr>
          <w:rFonts w:ascii="仿宋_GB2312" w:eastAsia="仿宋_GB2312"/>
          <w:sz w:val="28"/>
        </w:rPr>
        <w:t xml:space="preserve">  </w:t>
      </w:r>
      <w:r>
        <w:rPr>
          <w:rFonts w:hint="eastAsia" w:ascii="仿宋_GB2312" w:eastAsia="仿宋_GB2312"/>
          <w:b/>
          <w:sz w:val="28"/>
        </w:rPr>
        <w:t xml:space="preserve">  </w:t>
      </w:r>
    </w:p>
    <w:p w14:paraId="34484ACB">
      <w:pPr>
        <w:rPr>
          <w:rFonts w:hint="eastAsia" w:ascii="仿宋_GB2312" w:eastAsia="仿宋_GB2312"/>
          <w:sz w:val="32"/>
        </w:rPr>
      </w:pPr>
      <w:r>
        <w:rPr>
          <w:rFonts w:hint="eastAsia" w:ascii="仿宋_GB2312" w:eastAsia="仿宋_GB2312"/>
          <w:sz w:val="28"/>
        </w:rPr>
        <w:t xml:space="preserve">   </w:t>
      </w:r>
    </w:p>
    <w:p w14:paraId="172A6013">
      <w:pPr>
        <w:rPr>
          <w:rFonts w:hint="eastAsia" w:ascii="仿宋_GB2312" w:eastAsia="仿宋_GB2312"/>
          <w:sz w:val="32"/>
        </w:rPr>
      </w:pPr>
    </w:p>
    <w:p w14:paraId="0EE36413">
      <w:pPr>
        <w:pStyle w:val="3"/>
        <w:spacing w:line="380" w:lineRule="exact"/>
        <w:rPr>
          <w:rFonts w:hint="eastAsia" w:ascii="仿宋_GB2312" w:eastAsia="仿宋_GB2312"/>
          <w:sz w:val="24"/>
        </w:rPr>
      </w:pPr>
    </w:p>
    <w:p w14:paraId="1255E9FB">
      <w:pPr>
        <w:pStyle w:val="3"/>
        <w:spacing w:line="380" w:lineRule="exact"/>
        <w:rPr>
          <w:rFonts w:hint="eastAsia" w:ascii="仿宋_GB2312" w:eastAsia="仿宋_GB2312"/>
          <w:sz w:val="24"/>
        </w:rPr>
      </w:pPr>
      <w:r>
        <w:rPr>
          <w:rFonts w:hint="eastAsia" w:ascii="仿宋_GB2312" w:eastAsia="仿宋_GB2312"/>
          <w:sz w:val="24"/>
        </w:rPr>
        <w:br w:type="page"/>
      </w:r>
      <w:r>
        <w:rPr>
          <w:rFonts w:hint="eastAsia" w:ascii="仿宋_GB2312" w:eastAsia="仿宋_GB2312"/>
          <w:sz w:val="24"/>
        </w:rPr>
        <w:t>依据乙方发布的相关产品认证实施规则和公开文件的规定，甲乙双方就产品自愿认证项目经双方协商一致，签订本合同。</w:t>
      </w:r>
    </w:p>
    <w:p w14:paraId="0ADEEF81">
      <w:pPr>
        <w:pStyle w:val="3"/>
        <w:spacing w:line="380" w:lineRule="exact"/>
        <w:rPr>
          <w:rFonts w:hint="eastAsia" w:ascii="仿宋_GB2312" w:eastAsia="仿宋_GB2312"/>
          <w:sz w:val="24"/>
        </w:rPr>
      </w:pPr>
      <w:r>
        <w:rPr>
          <w:rFonts w:hint="eastAsia" w:ascii="仿宋_GB2312" w:eastAsia="仿宋_GB2312"/>
          <w:sz w:val="24"/>
        </w:rPr>
        <w:t>□产品质量认证      □产品节能认证      □产品节水认证</w:t>
      </w:r>
    </w:p>
    <w:p w14:paraId="49D6F91C">
      <w:pPr>
        <w:pStyle w:val="3"/>
        <w:spacing w:line="380" w:lineRule="exact"/>
        <w:rPr>
          <w:rFonts w:hint="eastAsia" w:ascii="仿宋_GB2312" w:eastAsia="仿宋_GB2312"/>
          <w:sz w:val="24"/>
        </w:rPr>
      </w:pPr>
      <w:r>
        <w:rPr>
          <w:rFonts w:hint="eastAsia" w:ascii="仿宋_GB2312" w:eastAsia="仿宋_GB2312"/>
          <w:sz w:val="24"/>
        </w:rPr>
        <w:t>□产品安全认证      □产品环保认证      □产品健康认证</w:t>
      </w:r>
    </w:p>
    <w:p w14:paraId="0A8C3C7D">
      <w:pPr>
        <w:pStyle w:val="3"/>
        <w:spacing w:line="380" w:lineRule="exact"/>
        <w:rPr>
          <w:rFonts w:hint="eastAsia" w:ascii="仿宋_GB2312" w:eastAsia="仿宋_GB2312"/>
          <w:sz w:val="24"/>
        </w:rPr>
      </w:pPr>
    </w:p>
    <w:p w14:paraId="24411022">
      <w:pPr>
        <w:pStyle w:val="3"/>
        <w:spacing w:line="380" w:lineRule="exact"/>
        <w:rPr>
          <w:rFonts w:ascii="仿宋_GB2312" w:eastAsia="仿宋_GB2312"/>
          <w:sz w:val="24"/>
        </w:rPr>
      </w:pPr>
      <w:r>
        <w:rPr>
          <w:rFonts w:hint="eastAsia" w:ascii="仿宋_GB2312" w:eastAsia="仿宋_GB2312"/>
          <w:sz w:val="24"/>
        </w:rPr>
        <w:t>具体认证范围详见申请书附件/确认函</w:t>
      </w:r>
    </w:p>
    <w:p w14:paraId="1272BC51">
      <w:pPr>
        <w:pStyle w:val="3"/>
        <w:spacing w:line="380" w:lineRule="exact"/>
        <w:rPr>
          <w:rFonts w:hint="eastAsia" w:ascii="仿宋_GB2312" w:eastAsia="仿宋_GB2312"/>
          <w:sz w:val="24"/>
        </w:rPr>
      </w:pPr>
    </w:p>
    <w:p w14:paraId="5C081863">
      <w:pPr>
        <w:numPr>
          <w:ilvl w:val="0"/>
          <w:numId w:val="1"/>
        </w:numPr>
        <w:tabs>
          <w:tab w:val="left" w:pos="630"/>
        </w:tabs>
        <w:spacing w:line="380" w:lineRule="exact"/>
        <w:rPr>
          <w:rFonts w:hint="eastAsia" w:ascii="仿宋_GB2312" w:eastAsia="仿宋_GB2312"/>
          <w:sz w:val="24"/>
        </w:rPr>
      </w:pPr>
      <w:r>
        <w:rPr>
          <w:rFonts w:hint="eastAsia" w:ascii="仿宋_GB2312" w:eastAsia="仿宋_GB2312"/>
          <w:sz w:val="24"/>
        </w:rPr>
        <w:t>甲方乙方的职责和权益</w:t>
      </w:r>
    </w:p>
    <w:p w14:paraId="3C35294F">
      <w:pPr>
        <w:numPr>
          <w:ilvl w:val="0"/>
          <w:numId w:val="2"/>
        </w:numPr>
        <w:spacing w:line="380" w:lineRule="exact"/>
        <w:rPr>
          <w:rFonts w:hint="eastAsia" w:ascii="仿宋_GB2312" w:eastAsia="仿宋_GB2312"/>
          <w:sz w:val="24"/>
        </w:rPr>
      </w:pPr>
      <w:r>
        <w:rPr>
          <w:rFonts w:hint="eastAsia" w:ascii="仿宋_GB2312" w:eastAsia="仿宋_GB2312"/>
          <w:sz w:val="24"/>
        </w:rPr>
        <w:t>甲方：</w:t>
      </w:r>
    </w:p>
    <w:p w14:paraId="1D0CDFCC">
      <w:pPr>
        <w:numPr>
          <w:ilvl w:val="0"/>
          <w:numId w:val="3"/>
        </w:numPr>
        <w:spacing w:line="380" w:lineRule="exact"/>
        <w:rPr>
          <w:rFonts w:hint="eastAsia" w:ascii="仿宋_GB2312" w:eastAsia="仿宋_GB2312"/>
          <w:sz w:val="24"/>
        </w:rPr>
      </w:pPr>
      <w:r>
        <w:rPr>
          <w:rFonts w:hint="eastAsia" w:ascii="仿宋_GB2312" w:eastAsia="仿宋_GB2312"/>
          <w:sz w:val="24"/>
        </w:rPr>
        <w:t>甲方自愿向乙方提出认证申请，并已仔细阅读相关公开文件并按乙方要求提供认证申请书及有关附件材料。</w:t>
      </w:r>
    </w:p>
    <w:p w14:paraId="6386DFA3">
      <w:pPr>
        <w:numPr>
          <w:ilvl w:val="0"/>
          <w:numId w:val="3"/>
        </w:numPr>
        <w:spacing w:line="380" w:lineRule="exact"/>
        <w:rPr>
          <w:rFonts w:hint="eastAsia" w:ascii="仿宋_GB2312" w:eastAsia="仿宋_GB2312"/>
          <w:sz w:val="24"/>
        </w:rPr>
      </w:pPr>
      <w:r>
        <w:rPr>
          <w:rFonts w:hint="eastAsia" w:ascii="仿宋_GB2312" w:eastAsia="仿宋_GB2312"/>
          <w:sz w:val="24"/>
        </w:rPr>
        <w:t>甲方在接到乙方认证受理通知后应及时交纳认证费用，同时接受乙方按照认证规则、程序安排的现场审核，提供评价所需要的信息。</w:t>
      </w:r>
    </w:p>
    <w:p w14:paraId="45317555">
      <w:pPr>
        <w:numPr>
          <w:ilvl w:val="0"/>
          <w:numId w:val="3"/>
        </w:numPr>
        <w:spacing w:line="380" w:lineRule="exact"/>
        <w:rPr>
          <w:rFonts w:hint="eastAsia" w:ascii="仿宋_GB2312" w:eastAsia="仿宋_GB2312"/>
          <w:sz w:val="24"/>
        </w:rPr>
      </w:pPr>
      <w:r>
        <w:rPr>
          <w:rFonts w:hint="eastAsia" w:ascii="仿宋_GB2312" w:eastAsia="仿宋_GB2312"/>
          <w:sz w:val="24"/>
        </w:rPr>
        <w:t>甲方现场审核存在问题较多需要进行补充审核时，应按乙方的安排接受补充审核。</w:t>
      </w:r>
    </w:p>
    <w:p w14:paraId="4A55ACE8">
      <w:pPr>
        <w:numPr>
          <w:ilvl w:val="0"/>
          <w:numId w:val="3"/>
        </w:numPr>
        <w:spacing w:line="380" w:lineRule="exact"/>
        <w:rPr>
          <w:rFonts w:hint="eastAsia" w:ascii="仿宋_GB2312" w:eastAsia="仿宋_GB2312"/>
          <w:sz w:val="24"/>
        </w:rPr>
      </w:pPr>
      <w:r>
        <w:rPr>
          <w:rFonts w:hint="eastAsia" w:ascii="仿宋_GB2312" w:eastAsia="仿宋_GB2312"/>
          <w:sz w:val="24"/>
        </w:rPr>
        <w:t>甲方获得认证证书后，在有效期内应保证产品持续符合认证要求，甲方有权在认证产品及宣传资料上使用乙方颁发的认证证书和在产品上按规定使用相应的CTC认证标志,但甲方在使用证书和标志或进行有关认证宣传时，应正确表述认证范围不得采取模糊或暗示等误导的方式夸大认证范围。CTC认证标志只能使用在认证证书所界定的工厂生产的认证范围内的产品上，甲方不得私自转让使用。</w:t>
      </w:r>
    </w:p>
    <w:p w14:paraId="04679CEA">
      <w:pPr>
        <w:numPr>
          <w:ilvl w:val="0"/>
          <w:numId w:val="3"/>
        </w:numPr>
        <w:spacing w:line="380" w:lineRule="exact"/>
        <w:rPr>
          <w:rFonts w:hint="eastAsia" w:ascii="仿宋_GB2312" w:eastAsia="仿宋_GB2312"/>
          <w:sz w:val="24"/>
        </w:rPr>
      </w:pPr>
      <w:r>
        <w:rPr>
          <w:rFonts w:hint="eastAsia" w:ascii="仿宋_GB2312" w:eastAsia="仿宋_GB2312"/>
          <w:sz w:val="24"/>
        </w:rPr>
        <w:t>甲方在证书有效期内必须接受乙方安排的监督审核，按规定及时交纳年金等监督审核费,需要时，甲方还应接受国家认证认可监督管理委员会（CNCA）、中国合格</w:t>
      </w:r>
      <w:r>
        <w:rPr>
          <w:rFonts w:ascii="仿宋_GB2312" w:eastAsia="仿宋_GB2312"/>
          <w:sz w:val="24"/>
        </w:rPr>
        <w:t>评定</w:t>
      </w:r>
      <w:r>
        <w:rPr>
          <w:rFonts w:hint="eastAsia" w:ascii="仿宋_GB2312" w:eastAsia="仿宋_GB2312"/>
          <w:sz w:val="24"/>
        </w:rPr>
        <w:t>国家认可委员会（CNAS）的见证评审、专项监督、观察员的参与(适用时)。</w:t>
      </w:r>
    </w:p>
    <w:p w14:paraId="192BBA00">
      <w:pPr>
        <w:numPr>
          <w:ilvl w:val="0"/>
          <w:numId w:val="3"/>
        </w:numPr>
        <w:spacing w:line="380" w:lineRule="exact"/>
        <w:rPr>
          <w:rFonts w:hint="eastAsia" w:ascii="仿宋_GB2312" w:eastAsia="仿宋_GB2312"/>
          <w:sz w:val="24"/>
        </w:rPr>
      </w:pPr>
      <w:r>
        <w:rPr>
          <w:rFonts w:hint="eastAsia" w:ascii="仿宋_GB2312" w:eastAsia="仿宋_GB2312"/>
          <w:sz w:val="24"/>
        </w:rPr>
        <w:t>当甲方认证产品或质量体系发生重大变化（如国家、省、市或地方监督抽查不合格）、顾客有重大投诉、组织机构、生产地址、产品或生产工艺变更、联系方式发生变化时，甲方应及时通报乙方，乙方将视情增加监督审核次数，费用由甲方承担。</w:t>
      </w:r>
    </w:p>
    <w:p w14:paraId="02FABD1D">
      <w:pPr>
        <w:numPr>
          <w:ilvl w:val="0"/>
          <w:numId w:val="3"/>
        </w:numPr>
        <w:spacing w:line="380" w:lineRule="exact"/>
        <w:rPr>
          <w:rFonts w:hint="eastAsia" w:ascii="仿宋_GB2312" w:eastAsia="仿宋_GB2312"/>
          <w:color w:val="000000"/>
          <w:sz w:val="24"/>
        </w:rPr>
      </w:pPr>
      <w:r>
        <w:rPr>
          <w:rFonts w:hint="eastAsia" w:ascii="仿宋_GB2312" w:eastAsia="仿宋_GB2312"/>
          <w:sz w:val="24"/>
        </w:rPr>
        <w:t>当监督结果为暂停、注销或撤销时，乙方将以书面方式通知甲方，在暂停期间或注销、撤销证书后，甲方应立即停止在宣传中使用认证证书或在产品上使用CTC认证标志</w:t>
      </w:r>
      <w:r>
        <w:rPr>
          <w:rFonts w:hint="eastAsia" w:ascii="仿宋_GB2312" w:eastAsia="仿宋_GB2312"/>
          <w:color w:val="000000"/>
          <w:sz w:val="24"/>
        </w:rPr>
        <w:t>，如证书被暂停或变更认证范围，甲方应通知其相关顾客。</w:t>
      </w:r>
    </w:p>
    <w:p w14:paraId="3D4FF3AE">
      <w:pPr>
        <w:numPr>
          <w:ilvl w:val="0"/>
          <w:numId w:val="3"/>
        </w:numPr>
        <w:spacing w:line="380" w:lineRule="exact"/>
        <w:rPr>
          <w:rFonts w:hint="eastAsia" w:ascii="仿宋_GB2312" w:eastAsia="仿宋_GB2312"/>
          <w:color w:val="000000"/>
          <w:sz w:val="24"/>
        </w:rPr>
      </w:pPr>
      <w:r>
        <w:rPr>
          <w:rFonts w:hint="eastAsia" w:ascii="仿宋_GB2312" w:eastAsia="仿宋_GB2312"/>
          <w:color w:val="000000"/>
          <w:sz w:val="24"/>
        </w:rPr>
        <w:t>如证书被暂停的原因是由于获证产品有缺陷或存在安全隐患，可能危及人体安全和生命财产，甲方应积极采取相应措施（如停止生产、进行整改、产品召回等）以尽可能减少危害的产生，并将所采取的措施报告乙方。</w:t>
      </w:r>
    </w:p>
    <w:p w14:paraId="4D8205FF">
      <w:pPr>
        <w:numPr>
          <w:ilvl w:val="0"/>
          <w:numId w:val="3"/>
        </w:numPr>
        <w:spacing w:line="380" w:lineRule="exact"/>
        <w:rPr>
          <w:rFonts w:hint="eastAsia" w:ascii="仿宋_GB2312" w:eastAsia="仿宋_GB2312"/>
          <w:sz w:val="24"/>
        </w:rPr>
      </w:pPr>
      <w:r>
        <w:rPr>
          <w:rFonts w:hint="eastAsia" w:ascii="仿宋_GB2312" w:eastAsia="仿宋_GB2312"/>
          <w:sz w:val="24"/>
        </w:rPr>
        <w:t>甲方负担乙方派出的现场审核人员的差旅、食宿费用。</w:t>
      </w:r>
    </w:p>
    <w:p w14:paraId="207EEAC5">
      <w:pPr>
        <w:numPr>
          <w:ilvl w:val="0"/>
          <w:numId w:val="3"/>
        </w:numPr>
        <w:spacing w:line="380" w:lineRule="exact"/>
        <w:rPr>
          <w:rFonts w:hint="eastAsia" w:ascii="仿宋_GB2312" w:eastAsia="仿宋_GB2312"/>
          <w:sz w:val="24"/>
        </w:rPr>
      </w:pPr>
      <w:r>
        <w:rPr>
          <w:rFonts w:hint="eastAsia" w:ascii="仿宋_GB2312" w:eastAsia="仿宋_GB2312"/>
          <w:sz w:val="24"/>
        </w:rPr>
        <w:t>甲方有权就认证过程中产生的争议向CNAS、CNCA提出申诉。</w:t>
      </w:r>
    </w:p>
    <w:p w14:paraId="2A7B4D58">
      <w:pPr>
        <w:snapToGrid w:val="0"/>
        <w:spacing w:line="380" w:lineRule="exact"/>
        <w:rPr>
          <w:rFonts w:hint="eastAsia" w:ascii="仿宋_GB2312" w:eastAsia="仿宋_GB2312"/>
          <w:sz w:val="24"/>
        </w:rPr>
      </w:pPr>
      <w:r>
        <w:rPr>
          <w:rFonts w:hint="eastAsia" w:ascii="仿宋_GB2312" w:eastAsia="仿宋_GB2312"/>
          <w:sz w:val="24"/>
        </w:rPr>
        <w:t xml:space="preserve">   </w:t>
      </w:r>
    </w:p>
    <w:p w14:paraId="7B2EE962">
      <w:pPr>
        <w:snapToGrid w:val="0"/>
        <w:spacing w:line="380" w:lineRule="exact"/>
        <w:rPr>
          <w:rFonts w:hint="eastAsia" w:ascii="仿宋_GB2312" w:eastAsia="仿宋_GB2312"/>
          <w:sz w:val="24"/>
        </w:rPr>
      </w:pPr>
      <w:r>
        <w:rPr>
          <w:rFonts w:hint="eastAsia" w:ascii="仿宋_GB2312" w:eastAsia="仿宋_GB2312"/>
          <w:sz w:val="24"/>
        </w:rPr>
        <w:t>（二）乙方：</w:t>
      </w:r>
    </w:p>
    <w:p w14:paraId="32631F6B">
      <w:pPr>
        <w:numPr>
          <w:ilvl w:val="0"/>
          <w:numId w:val="4"/>
        </w:numPr>
        <w:spacing w:line="380" w:lineRule="exact"/>
        <w:rPr>
          <w:rFonts w:hint="eastAsia" w:ascii="仿宋_GB2312" w:eastAsia="仿宋_GB2312"/>
          <w:sz w:val="24"/>
        </w:rPr>
      </w:pPr>
      <w:r>
        <w:rPr>
          <w:rFonts w:hint="eastAsia" w:ascii="仿宋_GB2312" w:eastAsia="仿宋_GB2312"/>
          <w:sz w:val="24"/>
        </w:rPr>
        <w:t>乙方应按认证规则、程序的要求，对甲方的认证申请范围、场所实施现场审核，与甲方协商合理安排现场审核等评定工作，当甲方的申请符合获准认证的条件时，乙方应及时向甲方颁发认证证书。</w:t>
      </w:r>
    </w:p>
    <w:p w14:paraId="6A3D0341">
      <w:pPr>
        <w:numPr>
          <w:ilvl w:val="0"/>
          <w:numId w:val="4"/>
        </w:numPr>
        <w:spacing w:line="380" w:lineRule="exact"/>
        <w:rPr>
          <w:rFonts w:hint="eastAsia" w:ascii="仿宋_GB2312" w:eastAsia="仿宋_GB2312"/>
          <w:sz w:val="24"/>
        </w:rPr>
      </w:pPr>
      <w:r>
        <w:rPr>
          <w:rFonts w:hint="eastAsia" w:ascii="仿宋_GB2312" w:eastAsia="仿宋_GB2312"/>
          <w:sz w:val="24"/>
        </w:rPr>
        <w:t>乙方应和甲方协商，就每次现场审核人员和时间做出妥善安排，并以书面方式提前通知甲方。当甲方认证产品或质量体系发生重大变化（如国家监督抽查不合格）、顾客有重大投诉、组织机构、生产地址、联系方式发生变化时，乙方有权暂停证书并采取不事先通知的方式，对甲方实施例外的飞行检查。</w:t>
      </w:r>
    </w:p>
    <w:p w14:paraId="22C6F64E">
      <w:pPr>
        <w:numPr>
          <w:ilvl w:val="0"/>
          <w:numId w:val="4"/>
        </w:numPr>
        <w:spacing w:line="380" w:lineRule="exact"/>
        <w:rPr>
          <w:rFonts w:hint="eastAsia" w:ascii="仿宋_GB2312" w:eastAsia="仿宋_GB2312"/>
          <w:sz w:val="24"/>
        </w:rPr>
      </w:pPr>
      <w:r>
        <w:rPr>
          <w:rFonts w:hint="eastAsia" w:ascii="仿宋_GB2312" w:eastAsia="仿宋_GB2312"/>
          <w:sz w:val="24"/>
        </w:rPr>
        <w:t>审核人员应严格遵守审核员行为准则，认真履行审核员职责，对甲方的商业秘密履行保密义务并接受甲方的监督。</w:t>
      </w:r>
    </w:p>
    <w:p w14:paraId="1A7CF230">
      <w:pPr>
        <w:numPr>
          <w:ilvl w:val="0"/>
          <w:numId w:val="4"/>
        </w:numPr>
        <w:spacing w:line="380" w:lineRule="exact"/>
        <w:rPr>
          <w:rFonts w:hint="eastAsia" w:ascii="仿宋_GB2312" w:eastAsia="仿宋_GB2312"/>
          <w:sz w:val="24"/>
        </w:rPr>
      </w:pPr>
      <w:r>
        <w:rPr>
          <w:rFonts w:hint="eastAsia" w:ascii="仿宋_GB2312" w:eastAsia="仿宋_GB2312"/>
          <w:sz w:val="24"/>
        </w:rPr>
        <w:t>甲方获准认证后，乙方将以现场审核时间起每12个月安排一次正常监督。</w:t>
      </w:r>
    </w:p>
    <w:p w14:paraId="4917D272">
      <w:pPr>
        <w:numPr>
          <w:ilvl w:val="0"/>
          <w:numId w:val="4"/>
        </w:numPr>
        <w:spacing w:line="380" w:lineRule="exact"/>
        <w:rPr>
          <w:rFonts w:hint="eastAsia" w:ascii="仿宋_GB2312" w:eastAsia="仿宋_GB2312"/>
          <w:sz w:val="24"/>
        </w:rPr>
      </w:pPr>
      <w:r>
        <w:rPr>
          <w:rFonts w:hint="eastAsia" w:ascii="仿宋_GB2312" w:eastAsia="仿宋_GB2312"/>
          <w:sz w:val="24"/>
        </w:rPr>
        <w:t xml:space="preserve">甲方应根据乙方的年度监督安排，接受年度监督审核。如逾期不能接受年度监督，乙方有权对甲方持有的证书做出暂停、撤消处理。 </w:t>
      </w:r>
    </w:p>
    <w:p w14:paraId="02532FB9">
      <w:pPr>
        <w:numPr>
          <w:ilvl w:val="0"/>
          <w:numId w:val="4"/>
        </w:numPr>
        <w:spacing w:line="380" w:lineRule="exact"/>
        <w:rPr>
          <w:rFonts w:hint="eastAsia" w:ascii="仿宋_GB2312" w:eastAsia="仿宋_GB2312"/>
          <w:color w:val="FF00FF"/>
          <w:sz w:val="24"/>
        </w:rPr>
      </w:pPr>
      <w:r>
        <w:rPr>
          <w:rFonts w:hint="eastAsia" w:ascii="仿宋_GB2312" w:eastAsia="仿宋_GB2312"/>
          <w:sz w:val="24"/>
        </w:rPr>
        <w:t>甲方获准认证后，乙方应以适当方式向社会公布，并将有关认证信息及时传递给甲方。</w:t>
      </w:r>
    </w:p>
    <w:p w14:paraId="689C7D8E">
      <w:pPr>
        <w:numPr>
          <w:ilvl w:val="0"/>
          <w:numId w:val="4"/>
        </w:numPr>
        <w:spacing w:line="380" w:lineRule="exact"/>
        <w:rPr>
          <w:rFonts w:hint="eastAsia" w:ascii="仿宋_GB2312" w:eastAsia="仿宋_GB2312"/>
          <w:color w:val="FF00FF"/>
          <w:sz w:val="24"/>
        </w:rPr>
      </w:pPr>
      <w:r>
        <w:rPr>
          <w:rFonts w:hint="eastAsia" w:ascii="仿宋_GB2312" w:eastAsia="仿宋_GB2312"/>
          <w:color w:val="000000"/>
          <w:sz w:val="24"/>
        </w:rPr>
        <w:t>当甲方由于获证产品有缺陷或存在安全隐患、或发生严重冒、误用</w:t>
      </w:r>
      <w:r>
        <w:rPr>
          <w:rFonts w:ascii="仿宋_GB2312" w:eastAsia="仿宋_GB2312"/>
          <w:color w:val="000000"/>
          <w:sz w:val="24"/>
        </w:rPr>
        <w:t>CTC</w:t>
      </w:r>
      <w:r>
        <w:rPr>
          <w:rFonts w:hint="eastAsia" w:ascii="仿宋_GB2312" w:eastAsia="仿宋_GB2312"/>
          <w:color w:val="000000"/>
          <w:sz w:val="24"/>
        </w:rPr>
        <w:t>标志情况，被乙方暂停、撤销认证证书时，乙方有向相关部门进行情况通报及进一步采取相应措施的权利</w:t>
      </w:r>
      <w:r>
        <w:rPr>
          <w:rFonts w:hint="eastAsia" w:ascii="仿宋_GB2312" w:eastAsia="仿宋_GB2312"/>
          <w:color w:val="FF00FF"/>
          <w:sz w:val="24"/>
        </w:rPr>
        <w:t>。</w:t>
      </w:r>
    </w:p>
    <w:p w14:paraId="19DB92E7">
      <w:pPr>
        <w:snapToGrid w:val="0"/>
        <w:spacing w:before="200" w:beforeLines="50" w:line="360" w:lineRule="exact"/>
        <w:ind w:left="357" w:hanging="357"/>
        <w:rPr>
          <w:rFonts w:hint="eastAsia" w:ascii="仿宋_GB2312" w:eastAsia="仿宋_GB2312"/>
          <w:sz w:val="24"/>
        </w:rPr>
      </w:pPr>
      <w:r>
        <w:rPr>
          <w:rFonts w:hint="eastAsia" w:ascii="仿宋_GB2312" w:eastAsia="仿宋_GB2312"/>
          <w:sz w:val="24"/>
        </w:rPr>
        <w:t>二、认证费用及其支付方式、时间</w:t>
      </w:r>
    </w:p>
    <w:p w14:paraId="57DE5750">
      <w:pPr>
        <w:spacing w:line="380" w:lineRule="exact"/>
        <w:ind w:firstLine="570"/>
        <w:rPr>
          <w:rFonts w:hint="eastAsia" w:ascii="仿宋_GB2312" w:eastAsia="仿宋_GB2312"/>
          <w:sz w:val="24"/>
        </w:rPr>
      </w:pPr>
      <w:r>
        <w:rPr>
          <w:rFonts w:hint="eastAsia" w:ascii="仿宋_GB2312" w:eastAsia="仿宋_GB2312"/>
          <w:sz w:val="24"/>
        </w:rPr>
        <w:t>经甲、乙双方协商，甲方应按乙方要求的时间向乙方交纳认证费用。</w:t>
      </w:r>
    </w:p>
    <w:p w14:paraId="1EF051A8">
      <w:pPr>
        <w:spacing w:line="380" w:lineRule="exact"/>
        <w:ind w:firstLine="570"/>
        <w:rPr>
          <w:rFonts w:hint="eastAsia" w:ascii="仿宋_GB2312" w:eastAsia="仿宋_GB2312"/>
          <w:sz w:val="24"/>
        </w:rPr>
      </w:pPr>
      <w:r>
        <w:rPr>
          <w:rFonts w:hint="eastAsia" w:ascii="仿宋_GB2312" w:eastAsia="仿宋_GB2312"/>
          <w:sz w:val="24"/>
        </w:rPr>
        <w:t>收费标准详见建筑节能用中空玻璃产品质量认证收费管理办法。</w:t>
      </w:r>
    </w:p>
    <w:p w14:paraId="56A04D87">
      <w:pPr>
        <w:tabs>
          <w:tab w:val="left" w:pos="945"/>
        </w:tabs>
        <w:spacing w:line="380" w:lineRule="exact"/>
        <w:ind w:left="555"/>
        <w:rPr>
          <w:rFonts w:hint="eastAsia" w:ascii="仿宋_GB2312" w:eastAsia="仿宋_GB2312"/>
          <w:sz w:val="24"/>
        </w:rPr>
      </w:pPr>
    </w:p>
    <w:p w14:paraId="4F2EC8C1">
      <w:pPr>
        <w:tabs>
          <w:tab w:val="left" w:pos="945"/>
        </w:tabs>
        <w:spacing w:line="380" w:lineRule="exact"/>
        <w:ind w:left="555"/>
        <w:rPr>
          <w:rFonts w:ascii="仿宋_GB2312" w:eastAsia="仿宋_GB2312"/>
          <w:sz w:val="24"/>
        </w:rPr>
      </w:pPr>
      <w:r>
        <w:rPr>
          <w:rFonts w:hint="eastAsia" w:ascii="仿宋_GB2312" w:eastAsia="仿宋_GB2312"/>
          <w:sz w:val="24"/>
        </w:rPr>
        <w:t>收款账户信息</w:t>
      </w:r>
    </w:p>
    <w:p w14:paraId="06C2440D">
      <w:pPr>
        <w:tabs>
          <w:tab w:val="left" w:pos="945"/>
        </w:tabs>
        <w:spacing w:line="380" w:lineRule="exact"/>
        <w:ind w:left="555"/>
        <w:rPr>
          <w:rFonts w:ascii="仿宋_GB2312" w:eastAsia="仿宋_GB2312"/>
          <w:sz w:val="24"/>
        </w:rPr>
      </w:pPr>
      <w:r>
        <w:rPr>
          <w:rFonts w:hint="eastAsia" w:ascii="仿宋_GB2312" w:eastAsia="仿宋_GB2312"/>
          <w:sz w:val="24"/>
        </w:rPr>
        <w:t xml:space="preserve">名 </w:t>
      </w:r>
      <w:r>
        <w:rPr>
          <w:rFonts w:ascii="仿宋_GB2312" w:eastAsia="仿宋_GB2312"/>
          <w:sz w:val="24"/>
        </w:rPr>
        <w:t xml:space="preserve"> </w:t>
      </w:r>
      <w:r>
        <w:rPr>
          <w:rFonts w:hint="eastAsia" w:ascii="仿宋_GB2312" w:eastAsia="仿宋_GB2312"/>
          <w:sz w:val="24"/>
        </w:rPr>
        <w:t>称：中国国检测试控股集团股份有限公司</w:t>
      </w:r>
    </w:p>
    <w:p w14:paraId="56438190">
      <w:pPr>
        <w:tabs>
          <w:tab w:val="left" w:pos="945"/>
        </w:tabs>
        <w:spacing w:line="380" w:lineRule="exact"/>
        <w:ind w:left="555"/>
        <w:rPr>
          <w:rFonts w:ascii="仿宋_GB2312" w:eastAsia="仿宋_GB2312"/>
          <w:sz w:val="24"/>
        </w:rPr>
      </w:pPr>
      <w:r>
        <w:rPr>
          <w:rFonts w:hint="eastAsia" w:ascii="仿宋_GB2312" w:eastAsia="仿宋_GB2312"/>
          <w:sz w:val="24"/>
        </w:rPr>
        <w:t>开户行：中国工商银行北京管庄支行</w:t>
      </w:r>
    </w:p>
    <w:p w14:paraId="0A875E32">
      <w:pPr>
        <w:tabs>
          <w:tab w:val="left" w:pos="945"/>
        </w:tabs>
        <w:spacing w:line="380" w:lineRule="exact"/>
        <w:ind w:left="555"/>
        <w:rPr>
          <w:rFonts w:hint="eastAsia" w:ascii="仿宋_GB2312" w:eastAsia="仿宋_GB2312"/>
          <w:sz w:val="24"/>
        </w:rPr>
      </w:pPr>
      <w:r>
        <w:rPr>
          <w:rFonts w:hint="eastAsia" w:ascii="仿宋_GB2312" w:eastAsia="仿宋_GB2312"/>
          <w:sz w:val="24"/>
        </w:rPr>
        <w:t xml:space="preserve">账 </w:t>
      </w:r>
      <w:r>
        <w:rPr>
          <w:rFonts w:ascii="仿宋_GB2312" w:eastAsia="仿宋_GB2312"/>
          <w:sz w:val="24"/>
        </w:rPr>
        <w:t xml:space="preserve"> </w:t>
      </w:r>
      <w:r>
        <w:rPr>
          <w:rFonts w:hint="eastAsia" w:ascii="仿宋_GB2312" w:eastAsia="仿宋_GB2312"/>
          <w:sz w:val="24"/>
        </w:rPr>
        <w:t>号：0</w:t>
      </w:r>
      <w:r>
        <w:rPr>
          <w:rFonts w:ascii="仿宋_GB2312" w:eastAsia="仿宋_GB2312"/>
          <w:sz w:val="24"/>
        </w:rPr>
        <w:t>200006809014437256</w:t>
      </w:r>
      <w:bookmarkStart w:id="0" w:name="_GoBack"/>
      <w:bookmarkEnd w:id="0"/>
    </w:p>
    <w:p w14:paraId="1A03C84F">
      <w:pPr>
        <w:snapToGrid w:val="0"/>
        <w:spacing w:before="200" w:beforeLines="50" w:line="360" w:lineRule="exact"/>
        <w:rPr>
          <w:rFonts w:hint="eastAsia" w:ascii="仿宋_GB2312" w:eastAsia="仿宋_GB2312"/>
          <w:sz w:val="24"/>
        </w:rPr>
      </w:pPr>
      <w:r>
        <w:rPr>
          <w:rFonts w:hint="eastAsia" w:ascii="仿宋_GB2312" w:eastAsia="仿宋_GB2312"/>
          <w:sz w:val="24"/>
        </w:rPr>
        <w:t>三、技术情报和资料的保密和公正性：</w:t>
      </w:r>
    </w:p>
    <w:p w14:paraId="21D459AF">
      <w:pPr>
        <w:numPr>
          <w:ilvl w:val="0"/>
          <w:numId w:val="5"/>
        </w:numPr>
        <w:spacing w:line="380" w:lineRule="exact"/>
        <w:rPr>
          <w:rFonts w:hint="eastAsia" w:ascii="仿宋_GB2312" w:eastAsia="仿宋_GB2312"/>
          <w:sz w:val="24"/>
        </w:rPr>
      </w:pPr>
      <w:r>
        <w:rPr>
          <w:rFonts w:hint="eastAsia" w:ascii="仿宋_GB2312" w:eastAsia="仿宋_GB2312"/>
          <w:sz w:val="24"/>
        </w:rPr>
        <w:t>乙方按有关保密要求承担保密责任。</w:t>
      </w:r>
    </w:p>
    <w:p w14:paraId="35D0AB0B">
      <w:pPr>
        <w:numPr>
          <w:ilvl w:val="0"/>
          <w:numId w:val="5"/>
        </w:numPr>
        <w:spacing w:line="380" w:lineRule="exact"/>
        <w:rPr>
          <w:rFonts w:hint="eastAsia" w:ascii="仿宋_GB2312" w:eastAsia="仿宋_GB2312"/>
          <w:sz w:val="24"/>
        </w:rPr>
      </w:pPr>
      <w:r>
        <w:rPr>
          <w:rFonts w:hint="eastAsia" w:ascii="仿宋_GB2312" w:eastAsia="仿宋_GB2312"/>
          <w:sz w:val="24"/>
        </w:rPr>
        <w:t>审核期间，未经双方同意，第三方不得介入现场观摩，法律或法规规定的除外。</w:t>
      </w:r>
    </w:p>
    <w:p w14:paraId="013805B1">
      <w:pPr>
        <w:snapToGrid w:val="0"/>
        <w:spacing w:before="200" w:beforeLines="50" w:line="360" w:lineRule="exact"/>
        <w:rPr>
          <w:rFonts w:hint="eastAsia" w:ascii="仿宋_GB2312" w:eastAsia="仿宋_GB2312"/>
          <w:sz w:val="24"/>
        </w:rPr>
      </w:pPr>
      <w:r>
        <w:rPr>
          <w:rFonts w:hint="eastAsia" w:ascii="仿宋_GB2312" w:eastAsia="仿宋_GB2312"/>
          <w:sz w:val="24"/>
        </w:rPr>
        <w:t>四、违约金或者损失赔偿额的计算方法</w:t>
      </w:r>
    </w:p>
    <w:p w14:paraId="1345DD66">
      <w:pPr>
        <w:spacing w:line="380" w:lineRule="exact"/>
        <w:ind w:firstLine="570"/>
        <w:rPr>
          <w:rFonts w:hint="eastAsia" w:ascii="仿宋_GB2312" w:eastAsia="仿宋_GB2312"/>
          <w:sz w:val="24"/>
        </w:rPr>
      </w:pPr>
      <w:r>
        <w:rPr>
          <w:rFonts w:hint="eastAsia" w:ascii="仿宋_GB2312" w:eastAsia="仿宋_GB2312"/>
          <w:sz w:val="24"/>
        </w:rPr>
        <w:t>违反本合同约定，违约方应当按《中华人民共和国民法典》的相关规定，承担违约责任。</w:t>
      </w:r>
    </w:p>
    <w:p w14:paraId="2B1FFB7A">
      <w:pPr>
        <w:numPr>
          <w:ilvl w:val="0"/>
          <w:numId w:val="6"/>
        </w:numPr>
        <w:spacing w:line="380" w:lineRule="exact"/>
        <w:rPr>
          <w:rFonts w:hint="eastAsia" w:ascii="仿宋_GB2312" w:eastAsia="仿宋_GB2312"/>
          <w:sz w:val="24"/>
        </w:rPr>
      </w:pPr>
      <w:r>
        <w:rPr>
          <w:rFonts w:hint="eastAsia" w:ascii="仿宋_GB2312" w:eastAsia="仿宋_GB2312"/>
          <w:sz w:val="24"/>
        </w:rPr>
        <w:t>甲方在认证过程中不能及时缴纳各种费用的或按时接受年度监督时，乙方将根据有关规定给予处理，包括暂停后续工作或暂停、注销和撤销认证资格，由此对甲方造成的损失乙方不承担责任。</w:t>
      </w:r>
    </w:p>
    <w:p w14:paraId="16E2C3FE">
      <w:pPr>
        <w:numPr>
          <w:ilvl w:val="0"/>
          <w:numId w:val="6"/>
        </w:numPr>
        <w:spacing w:line="380" w:lineRule="exact"/>
        <w:rPr>
          <w:rFonts w:hint="eastAsia" w:ascii="仿宋_GB2312" w:eastAsia="仿宋_GB2312"/>
          <w:sz w:val="24"/>
        </w:rPr>
      </w:pPr>
      <w:r>
        <w:rPr>
          <w:rFonts w:hint="eastAsia" w:ascii="仿宋_GB2312" w:eastAsia="仿宋_GB2312"/>
          <w:sz w:val="24"/>
        </w:rPr>
        <w:t>甲方提出中止合同时，应支付乙方已发生有关认证费用。</w:t>
      </w:r>
    </w:p>
    <w:p w14:paraId="301BAEC3">
      <w:pPr>
        <w:numPr>
          <w:ilvl w:val="0"/>
          <w:numId w:val="6"/>
        </w:numPr>
        <w:spacing w:line="380" w:lineRule="exact"/>
        <w:rPr>
          <w:rFonts w:hint="eastAsia" w:ascii="仿宋_GB2312" w:eastAsia="仿宋_GB2312"/>
          <w:sz w:val="24"/>
        </w:rPr>
      </w:pPr>
      <w:r>
        <w:rPr>
          <w:rFonts w:hint="eastAsia" w:ascii="仿宋_GB2312" w:eastAsia="仿宋_GB2312"/>
          <w:sz w:val="24"/>
        </w:rPr>
        <w:t>乙方由于非认证方面原因而提出中止合同时，应退还已收甲方所有费用。</w:t>
      </w:r>
    </w:p>
    <w:p w14:paraId="2FC04115">
      <w:pPr>
        <w:spacing w:line="380" w:lineRule="exact"/>
        <w:rPr>
          <w:rFonts w:hint="eastAsia" w:ascii="仿宋_GB2312" w:eastAsia="仿宋_GB2312"/>
          <w:sz w:val="24"/>
        </w:rPr>
      </w:pPr>
      <w:r>
        <w:rPr>
          <w:rFonts w:hint="eastAsia" w:ascii="仿宋_GB2312" w:eastAsia="仿宋_GB2312"/>
          <w:sz w:val="24"/>
        </w:rPr>
        <w:t>五、特别约定</w:t>
      </w:r>
    </w:p>
    <w:p w14:paraId="55AEBB05">
      <w:pPr>
        <w:spacing w:line="380" w:lineRule="exact"/>
        <w:rPr>
          <w:rFonts w:hint="eastAsia" w:ascii="仿宋_GB2312" w:eastAsia="仿宋_GB2312"/>
          <w:sz w:val="24"/>
        </w:rPr>
      </w:pPr>
      <w:r>
        <w:rPr>
          <w:rFonts w:hint="eastAsia" w:ascii="仿宋_GB2312" w:eastAsia="仿宋_GB2312"/>
          <w:sz w:val="24"/>
        </w:rPr>
        <w:t xml:space="preserve">     为确保乙方在实施认证时的公正性，乙方不对持有乙方股份的申请人实施认证。甲方获证后，在认证有效期内持有乙方股份时，甲方应立即通知乙方解除认证合同，乙方对甲方持有的证书进行注销处理；若甲方不通知乙方，乙方查证后有权注销证书。</w:t>
      </w:r>
    </w:p>
    <w:p w14:paraId="6BDF664C">
      <w:pPr>
        <w:snapToGrid w:val="0"/>
        <w:spacing w:before="200" w:beforeLines="50" w:line="360" w:lineRule="exact"/>
        <w:rPr>
          <w:rFonts w:hint="eastAsia" w:ascii="仿宋_GB2312" w:eastAsia="仿宋_GB2312"/>
          <w:sz w:val="24"/>
        </w:rPr>
      </w:pPr>
      <w:r>
        <w:rPr>
          <w:rFonts w:hint="eastAsia" w:ascii="仿宋_GB2312" w:eastAsia="仿宋_GB2312"/>
          <w:sz w:val="24"/>
        </w:rPr>
        <w:t>六、争议的解决办法：</w:t>
      </w:r>
    </w:p>
    <w:p w14:paraId="5C120512">
      <w:pPr>
        <w:spacing w:line="380" w:lineRule="exact"/>
        <w:ind w:firstLine="570"/>
        <w:rPr>
          <w:rFonts w:hint="eastAsia" w:ascii="仿宋_GB2312" w:eastAsia="仿宋_GB2312"/>
          <w:sz w:val="24"/>
        </w:rPr>
      </w:pPr>
      <w:r>
        <w:rPr>
          <w:rFonts w:hint="eastAsia" w:ascii="仿宋_GB2312" w:eastAsia="仿宋_GB2312"/>
          <w:sz w:val="24"/>
        </w:rPr>
        <w:t>在合同履行过程中发生争议，甲乙双方应当协商解决，也可以请国家认证认可监督管理委员会调解。</w:t>
      </w:r>
    </w:p>
    <w:p w14:paraId="6C25F5A6">
      <w:pPr>
        <w:spacing w:line="380" w:lineRule="exact"/>
        <w:ind w:firstLine="570"/>
        <w:rPr>
          <w:rFonts w:hint="eastAsia" w:ascii="仿宋_GB2312" w:eastAsia="仿宋_GB2312"/>
          <w:sz w:val="24"/>
        </w:rPr>
      </w:pPr>
      <w:r>
        <w:rPr>
          <w:rFonts w:hint="eastAsia" w:ascii="仿宋_GB2312" w:eastAsia="仿宋_GB2312"/>
          <w:sz w:val="24"/>
        </w:rPr>
        <w:t>甲乙双方不愿协商、调解解决或者协商、调解不成的，可以提请北京市仲裁委员会进行仲裁或向</w:t>
      </w:r>
      <w:r>
        <w:rPr>
          <w:rFonts w:ascii="仿宋_GB2312" w:eastAsia="仿宋_GB2312"/>
          <w:sz w:val="24"/>
        </w:rPr>
        <w:t>乙方所在地人民法院诉讼</w:t>
      </w:r>
      <w:r>
        <w:rPr>
          <w:rFonts w:hint="eastAsia" w:ascii="仿宋_GB2312" w:eastAsia="仿宋_GB2312"/>
          <w:sz w:val="24"/>
        </w:rPr>
        <w:t>解决。</w:t>
      </w:r>
    </w:p>
    <w:p w14:paraId="1C40BF27">
      <w:pPr>
        <w:spacing w:before="200" w:beforeLines="50" w:line="380" w:lineRule="exact"/>
        <w:rPr>
          <w:rFonts w:hint="eastAsia" w:ascii="仿宋_GB2312" w:eastAsia="仿宋_GB2312"/>
          <w:sz w:val="24"/>
        </w:rPr>
      </w:pPr>
      <w:r>
        <w:rPr>
          <w:rFonts w:hint="eastAsia" w:ascii="仿宋_GB2312" w:eastAsia="仿宋_GB2312"/>
          <w:sz w:val="24"/>
        </w:rPr>
        <w:t>七、本合同未尽事宜，甲乙双方共同协商解决。</w:t>
      </w:r>
    </w:p>
    <w:p w14:paraId="685DB62F">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八、本合同一式二份，甲乙双方各持一份，自双方签字盖章后生效。</w:t>
      </w:r>
    </w:p>
    <w:p w14:paraId="21DA8A79">
      <w:pPr>
        <w:pStyle w:val="2"/>
        <w:spacing w:before="200" w:beforeLines="50" w:line="380" w:lineRule="exact"/>
        <w:ind w:left="357" w:hanging="357"/>
        <w:rPr>
          <w:rFonts w:ascii="仿宋_GB2312" w:eastAsia="仿宋_GB2312"/>
          <w:sz w:val="24"/>
        </w:rPr>
      </w:pPr>
      <w:r>
        <w:rPr>
          <w:rFonts w:ascii="仿宋_GB2312" w:eastAsia="仿宋_GB2312"/>
          <w:sz w:val="24"/>
        </w:rPr>
        <w:t xml:space="preserve">                            </w:t>
      </w:r>
    </w:p>
    <w:p w14:paraId="322DEF33">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 xml:space="preserve">甲方（章）                          </w:t>
      </w:r>
      <w:r>
        <w:rPr>
          <w:rFonts w:hint="eastAsia" w:ascii="仿宋_GB2312" w:eastAsia="仿宋_GB2312"/>
          <w:sz w:val="24"/>
          <w:lang w:val="en-US" w:eastAsia="zh-CN"/>
        </w:rPr>
        <w:t xml:space="preserve"> </w:t>
      </w:r>
      <w:r>
        <w:rPr>
          <w:rFonts w:hint="eastAsia" w:ascii="仿宋_GB2312" w:eastAsia="仿宋_GB2312"/>
          <w:sz w:val="24"/>
        </w:rPr>
        <w:t xml:space="preserve"> 乙方（章）</w:t>
      </w:r>
    </w:p>
    <w:p w14:paraId="0841D287">
      <w:pPr>
        <w:pStyle w:val="2"/>
        <w:spacing w:before="200" w:beforeLines="50" w:line="380" w:lineRule="exact"/>
        <w:ind w:left="180" w:leftChars="0" w:hanging="180" w:firstLineChars="0"/>
        <w:rPr>
          <w:rFonts w:hint="eastAsia" w:ascii="仿宋_GB2312" w:eastAsia="仿宋_GB2312"/>
          <w:sz w:val="24"/>
        </w:rPr>
      </w:pPr>
      <w:r>
        <w:rPr>
          <w:rFonts w:hint="eastAsia" w:ascii="仿宋_GB2312" w:eastAsia="仿宋_GB2312"/>
          <w:sz w:val="24"/>
          <w:lang w:val="en-US" w:eastAsia="zh-CN"/>
        </w:rPr>
        <w:t xml:space="preserve">名称：                                </w:t>
      </w:r>
      <w:r>
        <w:rPr>
          <w:rFonts w:hint="eastAsia" w:ascii="仿宋_GB2312" w:eastAsia="仿宋_GB2312"/>
          <w:sz w:val="24"/>
        </w:rPr>
        <w:t>名称：中国国检测试控股集团股份有限公司</w:t>
      </w:r>
    </w:p>
    <w:p w14:paraId="2AB3DB19">
      <w:pPr>
        <w:pStyle w:val="2"/>
        <w:spacing w:before="200" w:beforeLines="50" w:line="380" w:lineRule="exact"/>
        <w:ind w:left="357" w:hanging="357"/>
        <w:rPr>
          <w:rFonts w:ascii="仿宋_GB2312" w:eastAsia="仿宋_GB2312"/>
          <w:sz w:val="24"/>
        </w:rPr>
      </w:pPr>
    </w:p>
    <w:p w14:paraId="3A57B0AC">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地址：                                地址：北京朝阳区管庄东里 100024</w:t>
      </w:r>
    </w:p>
    <w:p w14:paraId="121F399E">
      <w:pPr>
        <w:pStyle w:val="2"/>
        <w:spacing w:before="200" w:beforeLines="50" w:line="380" w:lineRule="exact"/>
        <w:ind w:left="357" w:hanging="357"/>
        <w:rPr>
          <w:rFonts w:ascii="仿宋_GB2312" w:eastAsia="仿宋_GB2312"/>
          <w:sz w:val="24"/>
        </w:rPr>
      </w:pPr>
    </w:p>
    <w:p w14:paraId="3D7F1DB6">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签署人：                              签署人：</w:t>
      </w:r>
    </w:p>
    <w:p w14:paraId="29DBD8B0">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职务：                                职务：</w:t>
      </w:r>
    </w:p>
    <w:p w14:paraId="56EC545D">
      <w:pPr>
        <w:pStyle w:val="2"/>
        <w:spacing w:before="200" w:beforeLines="50" w:line="380" w:lineRule="exact"/>
        <w:ind w:left="357" w:hanging="357"/>
        <w:rPr>
          <w:rFonts w:hint="eastAsia" w:ascii="仿宋_GB2312" w:eastAsia="仿宋_GB2312"/>
          <w:sz w:val="24"/>
        </w:rPr>
      </w:pPr>
      <w:r>
        <w:rPr>
          <w:rFonts w:hint="eastAsia" w:ascii="仿宋_GB2312" w:eastAsia="仿宋_GB2312"/>
          <w:sz w:val="24"/>
        </w:rPr>
        <w:t>日期：                                日期：</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851" w:footer="964" w:gutter="0"/>
      <w:paperSrc w:other="1"/>
      <w:cols w:space="720" w:num="1"/>
      <w:docGrid w:type="lines" w:linePitch="4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C0481">
    <w:pPr>
      <w:pStyle w:val="5"/>
      <w:jc w:val="center"/>
      <w:rPr>
        <w:rFonts w:hint="eastAsia"/>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1</w:t>
    </w:r>
    <w:r>
      <w:rPr>
        <w:kern w:val="0"/>
        <w:sz w:val="21"/>
        <w:szCs w:val="21"/>
      </w:rPr>
      <w:fldChar w:fldCharType="end"/>
    </w:r>
    <w:r>
      <w:rPr>
        <w:rFonts w:hint="eastAsia"/>
        <w:kern w:val="0"/>
        <w:sz w:val="21"/>
        <w:szCs w:val="21"/>
      </w:rPr>
      <w:t xml:space="preserve"> 页 共 4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D9CD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D646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C7770">
    <w:pPr>
      <w:ind w:left="7350" w:hanging="7350" w:hangingChars="3500"/>
      <w:rPr>
        <w:rFonts w:hint="eastAsia" w:eastAsia="宋体"/>
        <w:lang w:val="en-US" w:eastAsia="zh-CN"/>
      </w:rPr>
    </w:pPr>
    <w:r>
      <w:drawing>
        <wp:inline distT="0" distB="0" distL="114300" distR="114300">
          <wp:extent cx="751840" cy="565785"/>
          <wp:effectExtent l="0" t="0" r="10160" b="5715"/>
          <wp:docPr id="1" name="图片 1" descr="国检集团中文简称叠式（常用推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检集团中文简称叠式（常用推荐）"/>
                  <pic:cNvPicPr>
                    <a:picLocks noChangeAspect="1"/>
                  </pic:cNvPicPr>
                </pic:nvPicPr>
                <pic:blipFill>
                  <a:blip r:embed="rId1"/>
                  <a:stretch>
                    <a:fillRect/>
                  </a:stretch>
                </pic:blipFill>
                <pic:spPr>
                  <a:xfrm>
                    <a:off x="0" y="0"/>
                    <a:ext cx="751840" cy="565785"/>
                  </a:xfrm>
                  <a:prstGeom prst="rect">
                    <a:avLst/>
                  </a:prstGeom>
                  <a:noFill/>
                  <a:ln>
                    <a:noFill/>
                  </a:ln>
                </pic:spPr>
              </pic:pic>
            </a:graphicData>
          </a:graphic>
        </wp:inline>
      </w:drawing>
    </w:r>
    <w:r>
      <w:rPr>
        <w:rFonts w:hint="eastAsia"/>
        <w:kern w:val="0"/>
      </w:rPr>
      <w:t xml:space="preserve">                                                           </w:t>
    </w:r>
    <w:r>
      <w:rPr>
        <w:rFonts w:hint="eastAsia" w:ascii="宋体"/>
        <w:color w:val="000000"/>
        <w:kern w:val="13"/>
      </w:rPr>
      <w:t>CTC/QV-RD07/1.</w:t>
    </w:r>
    <w:r>
      <w:rPr>
        <w:rFonts w:hint="eastAsia" w:ascii="宋体"/>
        <w:color w:val="000000"/>
        <w:kern w:val="13"/>
        <w:lang w:val="en-US" w:eastAsia="zh-CN"/>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2A4DA">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DC30D">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2554EB"/>
    <w:multiLevelType w:val="singleLevel"/>
    <w:tmpl w:val="192554EB"/>
    <w:lvl w:ilvl="0" w:tentative="0">
      <w:start w:val="1"/>
      <w:numFmt w:val="japaneseCounting"/>
      <w:lvlText w:val="（%1）"/>
      <w:lvlJc w:val="left"/>
      <w:pPr>
        <w:tabs>
          <w:tab w:val="left" w:pos="1425"/>
        </w:tabs>
        <w:ind w:left="1425" w:hanging="855"/>
      </w:pPr>
      <w:rPr>
        <w:rFonts w:hint="eastAsia"/>
      </w:rPr>
    </w:lvl>
  </w:abstractNum>
  <w:abstractNum w:abstractNumId="1">
    <w:nsid w:val="1A394062"/>
    <w:multiLevelType w:val="singleLevel"/>
    <w:tmpl w:val="1A394062"/>
    <w:lvl w:ilvl="0" w:tentative="0">
      <w:start w:val="1"/>
      <w:numFmt w:val="japaneseCounting"/>
      <w:lvlText w:val="（%1）"/>
      <w:lvlJc w:val="left"/>
      <w:pPr>
        <w:tabs>
          <w:tab w:val="left" w:pos="1275"/>
        </w:tabs>
        <w:ind w:left="1275" w:hanging="840"/>
      </w:pPr>
      <w:rPr>
        <w:rFonts w:hint="eastAsia"/>
      </w:rPr>
    </w:lvl>
  </w:abstractNum>
  <w:abstractNum w:abstractNumId="2">
    <w:nsid w:val="1CB20760"/>
    <w:multiLevelType w:val="singleLevel"/>
    <w:tmpl w:val="1CB20760"/>
    <w:lvl w:ilvl="0" w:tentative="0">
      <w:start w:val="1"/>
      <w:numFmt w:val="decimal"/>
      <w:lvlText w:val="%1、"/>
      <w:lvlJc w:val="left"/>
      <w:pPr>
        <w:tabs>
          <w:tab w:val="left" w:pos="1050"/>
        </w:tabs>
        <w:ind w:left="1050" w:hanging="420"/>
      </w:pPr>
      <w:rPr>
        <w:rFonts w:hint="eastAsia"/>
        <w:color w:val="auto"/>
      </w:rPr>
    </w:lvl>
  </w:abstractNum>
  <w:abstractNum w:abstractNumId="3">
    <w:nsid w:val="1FF354C6"/>
    <w:multiLevelType w:val="singleLevel"/>
    <w:tmpl w:val="1FF354C6"/>
    <w:lvl w:ilvl="0" w:tentative="0">
      <w:start w:val="1"/>
      <w:numFmt w:val="decimal"/>
      <w:lvlText w:val="%1、"/>
      <w:lvlJc w:val="left"/>
      <w:pPr>
        <w:tabs>
          <w:tab w:val="left" w:pos="1050"/>
        </w:tabs>
        <w:ind w:left="1050" w:hanging="420"/>
      </w:pPr>
      <w:rPr>
        <w:rFonts w:hint="eastAsia"/>
      </w:rPr>
    </w:lvl>
  </w:abstractNum>
  <w:abstractNum w:abstractNumId="4">
    <w:nsid w:val="26D91F34"/>
    <w:multiLevelType w:val="singleLevel"/>
    <w:tmpl w:val="26D91F34"/>
    <w:lvl w:ilvl="0" w:tentative="0">
      <w:start w:val="1"/>
      <w:numFmt w:val="decimal"/>
      <w:lvlText w:val="%1、"/>
      <w:lvlJc w:val="left"/>
      <w:pPr>
        <w:tabs>
          <w:tab w:val="left" w:pos="1065"/>
        </w:tabs>
        <w:ind w:left="1065" w:hanging="435"/>
      </w:pPr>
      <w:rPr>
        <w:rFonts w:hint="eastAsia"/>
      </w:rPr>
    </w:lvl>
  </w:abstractNum>
  <w:abstractNum w:abstractNumId="5">
    <w:nsid w:val="61A965FA"/>
    <w:multiLevelType w:val="singleLevel"/>
    <w:tmpl w:val="61A965FA"/>
    <w:lvl w:ilvl="0" w:tentative="0">
      <w:start w:val="1"/>
      <w:numFmt w:val="japaneseCounting"/>
      <w:lvlText w:val="%1、"/>
      <w:lvlJc w:val="left"/>
      <w:pPr>
        <w:tabs>
          <w:tab w:val="left" w:pos="720"/>
        </w:tabs>
        <w:ind w:left="720" w:hanging="720"/>
      </w:pPr>
      <w:rPr>
        <w:rFonts w:hint="eastAsia"/>
      </w:r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xODc3NDRkMjhiNjAxMWQwODBkZTQ4Mjk3NzcwN2IifQ=="/>
  </w:docVars>
  <w:rsids>
    <w:rsidRoot w:val="00913B90"/>
    <w:rsid w:val="00006263"/>
    <w:rsid w:val="00006F49"/>
    <w:rsid w:val="00013587"/>
    <w:rsid w:val="00033DC2"/>
    <w:rsid w:val="00042C1F"/>
    <w:rsid w:val="000624EF"/>
    <w:rsid w:val="000734DA"/>
    <w:rsid w:val="00074C06"/>
    <w:rsid w:val="000A67B7"/>
    <w:rsid w:val="000C42CF"/>
    <w:rsid w:val="000C5DF6"/>
    <w:rsid w:val="000F58CD"/>
    <w:rsid w:val="0011660E"/>
    <w:rsid w:val="00164105"/>
    <w:rsid w:val="00183034"/>
    <w:rsid w:val="001B6EC5"/>
    <w:rsid w:val="001C6675"/>
    <w:rsid w:val="001D1AA2"/>
    <w:rsid w:val="001F7E2E"/>
    <w:rsid w:val="0020544B"/>
    <w:rsid w:val="00214475"/>
    <w:rsid w:val="002A23FB"/>
    <w:rsid w:val="002A2F45"/>
    <w:rsid w:val="002B5BE0"/>
    <w:rsid w:val="002D614D"/>
    <w:rsid w:val="002D782D"/>
    <w:rsid w:val="002F3FCF"/>
    <w:rsid w:val="003206F9"/>
    <w:rsid w:val="003920E3"/>
    <w:rsid w:val="00397BF1"/>
    <w:rsid w:val="003B6E9B"/>
    <w:rsid w:val="003E1844"/>
    <w:rsid w:val="00413011"/>
    <w:rsid w:val="00415D4B"/>
    <w:rsid w:val="00427274"/>
    <w:rsid w:val="004313E5"/>
    <w:rsid w:val="0043392E"/>
    <w:rsid w:val="00440B1B"/>
    <w:rsid w:val="00440BA2"/>
    <w:rsid w:val="004502CC"/>
    <w:rsid w:val="0046280B"/>
    <w:rsid w:val="00464DD5"/>
    <w:rsid w:val="0049509D"/>
    <w:rsid w:val="004C75CB"/>
    <w:rsid w:val="004D42A8"/>
    <w:rsid w:val="004D7B07"/>
    <w:rsid w:val="0053490F"/>
    <w:rsid w:val="00542F17"/>
    <w:rsid w:val="00563C4F"/>
    <w:rsid w:val="00571180"/>
    <w:rsid w:val="00571D3F"/>
    <w:rsid w:val="005832F5"/>
    <w:rsid w:val="005B7028"/>
    <w:rsid w:val="006252D3"/>
    <w:rsid w:val="006405BC"/>
    <w:rsid w:val="00652F90"/>
    <w:rsid w:val="006777D4"/>
    <w:rsid w:val="00681B0B"/>
    <w:rsid w:val="00697F6D"/>
    <w:rsid w:val="006A3C7C"/>
    <w:rsid w:val="006D5F11"/>
    <w:rsid w:val="00705674"/>
    <w:rsid w:val="00741C3D"/>
    <w:rsid w:val="00745AE2"/>
    <w:rsid w:val="00753675"/>
    <w:rsid w:val="00757603"/>
    <w:rsid w:val="0076179B"/>
    <w:rsid w:val="00766B26"/>
    <w:rsid w:val="007716D6"/>
    <w:rsid w:val="0078344D"/>
    <w:rsid w:val="007B2F6C"/>
    <w:rsid w:val="00822FD9"/>
    <w:rsid w:val="0082717F"/>
    <w:rsid w:val="00843556"/>
    <w:rsid w:val="00844127"/>
    <w:rsid w:val="00863F5E"/>
    <w:rsid w:val="00865ECD"/>
    <w:rsid w:val="00873EDE"/>
    <w:rsid w:val="0088035C"/>
    <w:rsid w:val="00897809"/>
    <w:rsid w:val="008A0FAA"/>
    <w:rsid w:val="008A2F0B"/>
    <w:rsid w:val="008E00D4"/>
    <w:rsid w:val="008E020D"/>
    <w:rsid w:val="008E34AE"/>
    <w:rsid w:val="008F0E6A"/>
    <w:rsid w:val="00913B90"/>
    <w:rsid w:val="00943DE7"/>
    <w:rsid w:val="0095389B"/>
    <w:rsid w:val="00957303"/>
    <w:rsid w:val="009661ED"/>
    <w:rsid w:val="009C00B0"/>
    <w:rsid w:val="009D6228"/>
    <w:rsid w:val="00A25721"/>
    <w:rsid w:val="00A30B9C"/>
    <w:rsid w:val="00A94D1E"/>
    <w:rsid w:val="00B059E3"/>
    <w:rsid w:val="00B33F87"/>
    <w:rsid w:val="00B4435C"/>
    <w:rsid w:val="00B67D6F"/>
    <w:rsid w:val="00BB7231"/>
    <w:rsid w:val="00BC565C"/>
    <w:rsid w:val="00BF7B8F"/>
    <w:rsid w:val="00C002CE"/>
    <w:rsid w:val="00C35B2D"/>
    <w:rsid w:val="00C36B1E"/>
    <w:rsid w:val="00C423F8"/>
    <w:rsid w:val="00C637A0"/>
    <w:rsid w:val="00C73923"/>
    <w:rsid w:val="00C97B43"/>
    <w:rsid w:val="00CE29EE"/>
    <w:rsid w:val="00CF2BA7"/>
    <w:rsid w:val="00CF5E67"/>
    <w:rsid w:val="00CF63F1"/>
    <w:rsid w:val="00D074EA"/>
    <w:rsid w:val="00D319F4"/>
    <w:rsid w:val="00D37E31"/>
    <w:rsid w:val="00D67055"/>
    <w:rsid w:val="00D85239"/>
    <w:rsid w:val="00DA5AE2"/>
    <w:rsid w:val="00DB7CF6"/>
    <w:rsid w:val="00E57DA4"/>
    <w:rsid w:val="00E83354"/>
    <w:rsid w:val="00EA1A5E"/>
    <w:rsid w:val="00EC6423"/>
    <w:rsid w:val="00EE4804"/>
    <w:rsid w:val="00F1108E"/>
    <w:rsid w:val="00F21DF4"/>
    <w:rsid w:val="00F7001F"/>
    <w:rsid w:val="00F92A3B"/>
    <w:rsid w:val="00FB176B"/>
    <w:rsid w:val="0A8F623A"/>
    <w:rsid w:val="0E5A0B77"/>
    <w:rsid w:val="0FAF6352"/>
    <w:rsid w:val="1E6C6631"/>
    <w:rsid w:val="1EB40E83"/>
    <w:rsid w:val="23B153C1"/>
    <w:rsid w:val="27094160"/>
    <w:rsid w:val="41702844"/>
    <w:rsid w:val="5DC70D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w:basedOn w:val="1"/>
    <w:uiPriority w:val="0"/>
    <w:pPr>
      <w:ind w:left="180" w:hanging="360"/>
    </w:pPr>
    <w:rPr>
      <w:rFonts w:ascii="宋体"/>
      <w:sz w:val="30"/>
    </w:rPr>
  </w:style>
  <w:style w:type="paragraph" w:styleId="3">
    <w:name w:val="Body Text Indent 2"/>
    <w:basedOn w:val="1"/>
    <w:uiPriority w:val="0"/>
    <w:pPr>
      <w:ind w:firstLine="600"/>
    </w:pPr>
    <w:rPr>
      <w:rFonts w:ascii="宋体"/>
      <w:sz w:val="30"/>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认证中心</Company>
  <Pages>4</Pages>
  <Words>2144</Words>
  <Characters>2190</Characters>
  <Lines>17</Lines>
  <Paragraphs>4</Paragraphs>
  <TotalTime>7</TotalTime>
  <ScaleCrop>false</ScaleCrop>
  <LinksUpToDate>false</LinksUpToDate>
  <CharactersWithSpaces>2512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2020-03-05T05:55:00Z</dcterms:created>
  <dc:creator>田源</dc:creator>
  <cp:lastModifiedBy>李爽</cp:lastModifiedBy>
  <cp:lastPrinted>2007-12-25T07:49:00Z</cp:lastPrinted>
  <dcterms:modified xsi:type="dcterms:W3CDTF">2026-10-10T02:52:26Z</dcterms:modified>
  <dc:title>合同编号：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C979E64FD52542EFB6FFEBAB0167BEF8_13</vt:lpwstr>
  </property>
  <property fmtid="{D5CDD505-2E9C-101B-9397-08002B2CF9AE}" pid="4" name="KSOTemplateDocerSaveRecord">
    <vt:lpwstr>eyJoZGlkIjoiZTZlM2FiNzBjMzA5MzAzNGMzYjQ5MzY4MzY3ZjcxZGIiLCJ1c2VySWQiOiIxMDE0MjkzNjMwIn0=</vt:lpwstr>
  </property>
</Properties>
</file>