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FE" w:rsidRPr="008C72FE" w:rsidRDefault="008C72FE" w:rsidP="008C72FE">
      <w:pPr>
        <w:widowControl/>
        <w:shd w:val="clear" w:color="auto" w:fill="FFFFFF"/>
        <w:spacing w:line="660" w:lineRule="atLeast"/>
        <w:jc w:val="center"/>
        <w:outlineLvl w:val="0"/>
        <w:rPr>
          <w:rFonts w:ascii="微软雅黑" w:eastAsia="微软雅黑" w:hAnsi="微软雅黑" w:cs="宋体"/>
          <w:b/>
          <w:bCs/>
          <w:color w:val="E60066"/>
          <w:kern w:val="36"/>
          <w:sz w:val="33"/>
          <w:szCs w:val="33"/>
        </w:rPr>
      </w:pPr>
      <w:bookmarkStart w:id="0" w:name="_GoBack"/>
      <w:r w:rsidRPr="008C72FE">
        <w:rPr>
          <w:rFonts w:ascii="微软雅黑" w:eastAsia="微软雅黑" w:hAnsi="微软雅黑" w:cs="宋体" w:hint="eastAsia"/>
          <w:b/>
          <w:bCs/>
          <w:color w:val="E60066"/>
          <w:kern w:val="36"/>
          <w:sz w:val="33"/>
          <w:szCs w:val="33"/>
        </w:rPr>
        <w:t>安</w:t>
      </w:r>
      <w:proofErr w:type="gramStart"/>
      <w:r w:rsidRPr="008C72FE">
        <w:rPr>
          <w:rFonts w:ascii="微软雅黑" w:eastAsia="微软雅黑" w:hAnsi="微软雅黑" w:cs="宋体" w:hint="eastAsia"/>
          <w:b/>
          <w:bCs/>
          <w:color w:val="E60066"/>
          <w:kern w:val="36"/>
          <w:sz w:val="33"/>
          <w:szCs w:val="33"/>
        </w:rPr>
        <w:t>监总厅安</w:t>
      </w:r>
      <w:proofErr w:type="gramEnd"/>
      <w:r w:rsidRPr="008C72FE">
        <w:rPr>
          <w:rFonts w:ascii="微软雅黑" w:eastAsia="微软雅黑" w:hAnsi="微软雅黑" w:cs="宋体" w:hint="eastAsia"/>
          <w:b/>
          <w:bCs/>
          <w:color w:val="E60066"/>
          <w:kern w:val="36"/>
          <w:sz w:val="33"/>
          <w:szCs w:val="33"/>
        </w:rPr>
        <w:t>健〔2017〕34号《国家安全监管总局办公厅关于推动水泥行业淘汰落后产能开展安全生产和职业健康执法专项行动的通知》</w:t>
      </w:r>
    </w:p>
    <w:bookmarkEnd w:id="0"/>
    <w:p w:rsidR="008C72FE" w:rsidRPr="008C72FE" w:rsidRDefault="008C72FE" w:rsidP="008C72FE">
      <w:pPr>
        <w:widowControl/>
        <w:shd w:val="clear" w:color="auto" w:fill="FFFFFF"/>
        <w:spacing w:line="420" w:lineRule="atLeast"/>
        <w:jc w:val="center"/>
        <w:rPr>
          <w:rFonts w:ascii="微软雅黑" w:eastAsia="微软雅黑" w:hAnsi="微软雅黑" w:cs="宋体" w:hint="eastAsia"/>
          <w:color w:val="989898"/>
          <w:kern w:val="0"/>
          <w:szCs w:val="21"/>
        </w:rPr>
      </w:pPr>
      <w:r w:rsidRPr="008C72FE">
        <w:rPr>
          <w:rFonts w:ascii="微软雅黑" w:eastAsia="微软雅黑" w:hAnsi="微软雅黑" w:cs="宋体" w:hint="eastAsia"/>
          <w:color w:val="989898"/>
          <w:kern w:val="0"/>
          <w:szCs w:val="21"/>
        </w:rPr>
        <w:t>来源：          时间：2017-04-29 04:46:12</w:t>
      </w:r>
    </w:p>
    <w:p w:rsidR="008C72FE" w:rsidRPr="008C72FE" w:rsidRDefault="008C72FE" w:rsidP="008C72FE">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8C72FE">
        <w:rPr>
          <w:rFonts w:ascii="微软雅黑" w:eastAsia="微软雅黑" w:hAnsi="微软雅黑" w:cs="宋体" w:hint="eastAsia"/>
          <w:b/>
          <w:bCs/>
          <w:color w:val="FF0000"/>
          <w:kern w:val="0"/>
          <w:sz w:val="36"/>
          <w:szCs w:val="36"/>
        </w:rPr>
        <w:t>国家安全监管总局办公厅关于推动水泥行业淘汰落后产能开展安全生产和职业健康执法专项行动的通知</w:t>
      </w:r>
    </w:p>
    <w:p w:rsidR="008C72FE" w:rsidRPr="008C72FE" w:rsidRDefault="008C72FE" w:rsidP="008C72FE">
      <w:pPr>
        <w:widowControl/>
        <w:shd w:val="clear" w:color="auto" w:fill="FFFFFF"/>
        <w:spacing w:line="480" w:lineRule="atLeast"/>
        <w:jc w:val="center"/>
        <w:rPr>
          <w:rFonts w:ascii="微软雅黑" w:eastAsia="微软雅黑" w:hAnsi="微软雅黑" w:cs="宋体" w:hint="eastAsia"/>
          <w:color w:val="000000"/>
          <w:kern w:val="0"/>
          <w:sz w:val="24"/>
          <w:szCs w:val="24"/>
        </w:rPr>
      </w:pPr>
    </w:p>
    <w:p w:rsidR="008C72FE" w:rsidRPr="008C72FE" w:rsidRDefault="008C72FE" w:rsidP="008C72FE">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8C72FE">
        <w:rPr>
          <w:rFonts w:ascii="微软雅黑" w:eastAsia="微软雅黑" w:hAnsi="微软雅黑" w:cs="宋体" w:hint="eastAsia"/>
          <w:b/>
          <w:bCs/>
          <w:color w:val="FF0000"/>
          <w:kern w:val="0"/>
          <w:sz w:val="36"/>
          <w:szCs w:val="36"/>
        </w:rPr>
        <w:br/>
      </w:r>
      <w:r w:rsidRPr="008C72FE">
        <w:rPr>
          <w:rFonts w:ascii="微软雅黑" w:eastAsia="微软雅黑" w:hAnsi="微软雅黑" w:cs="宋体" w:hint="eastAsia"/>
          <w:b/>
          <w:bCs/>
          <w:color w:val="FF0000"/>
          <w:kern w:val="0"/>
          <w:sz w:val="36"/>
          <w:szCs w:val="36"/>
        </w:rPr>
        <w:br/>
        <w:t>安</w:t>
      </w:r>
      <w:proofErr w:type="gramStart"/>
      <w:r w:rsidRPr="008C72FE">
        <w:rPr>
          <w:rFonts w:ascii="微软雅黑" w:eastAsia="微软雅黑" w:hAnsi="微软雅黑" w:cs="宋体" w:hint="eastAsia"/>
          <w:b/>
          <w:bCs/>
          <w:color w:val="FF0000"/>
          <w:kern w:val="0"/>
          <w:sz w:val="36"/>
          <w:szCs w:val="36"/>
        </w:rPr>
        <w:t>监总厅安</w:t>
      </w:r>
      <w:proofErr w:type="gramEnd"/>
      <w:r w:rsidRPr="008C72FE">
        <w:rPr>
          <w:rFonts w:ascii="微软雅黑" w:eastAsia="微软雅黑" w:hAnsi="微软雅黑" w:cs="宋体" w:hint="eastAsia"/>
          <w:b/>
          <w:bCs/>
          <w:color w:val="FF0000"/>
          <w:kern w:val="0"/>
          <w:sz w:val="36"/>
          <w:szCs w:val="36"/>
        </w:rPr>
        <w:t>健〔2017〕34号</w:t>
      </w:r>
    </w:p>
    <w:p w:rsidR="008C72FE" w:rsidRPr="008C72FE" w:rsidRDefault="008C72FE" w:rsidP="008C72FE">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8C72FE">
        <w:rPr>
          <w:rFonts w:ascii="微软雅黑" w:eastAsia="微软雅黑" w:hAnsi="微软雅黑" w:cs="宋体" w:hint="eastAsia"/>
          <w:color w:val="000000"/>
          <w:kern w:val="0"/>
          <w:sz w:val="24"/>
          <w:szCs w:val="24"/>
        </w:rPr>
        <w:t> </w:t>
      </w:r>
    </w:p>
    <w:p w:rsidR="008C72FE" w:rsidRPr="008C72FE" w:rsidRDefault="008C72FE" w:rsidP="008C72FE">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8C72FE">
        <w:rPr>
          <w:rFonts w:ascii="微软雅黑" w:eastAsia="微软雅黑" w:hAnsi="微软雅黑" w:cs="宋体" w:hint="eastAsia"/>
          <w:color w:val="000000"/>
          <w:kern w:val="0"/>
          <w:sz w:val="24"/>
          <w:szCs w:val="24"/>
        </w:rPr>
        <w:t> </w:t>
      </w:r>
    </w:p>
    <w:p w:rsidR="008C72FE" w:rsidRPr="008C72FE" w:rsidRDefault="008C72FE" w:rsidP="008C72FE">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各省、自治区、直辖市及新疆生产建设兵团安全生产监督管理局：</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今年2月份，工业和信息化部、国家发展改革委、国家安全监管总局等15个淘汰落后产能工作部际协调小组成员单位联合出台了《</w:t>
      </w:r>
      <w:hyperlink r:id="rId7" w:tgtFrame="_blank" w:tooltip="工信部联产业〔2017〕30号《关于利用综合标准依法依规推动落后产能退出的指导意见》" w:history="1">
        <w:r w:rsidRPr="008C72FE">
          <w:rPr>
            <w:rFonts w:ascii="微软雅黑" w:eastAsia="微软雅黑" w:hAnsi="微软雅黑" w:cs="宋体" w:hint="eastAsia"/>
            <w:color w:val="3D3D3D"/>
            <w:kern w:val="0"/>
            <w:sz w:val="24"/>
            <w:szCs w:val="24"/>
          </w:rPr>
          <w:t>关于利用综合标准依法依规推动落后产能退出的指导意见</w:t>
        </w:r>
      </w:hyperlink>
      <w:r w:rsidRPr="008C72FE">
        <w:rPr>
          <w:rFonts w:ascii="微软雅黑" w:eastAsia="微软雅黑" w:hAnsi="微软雅黑" w:cs="宋体" w:hint="eastAsia"/>
          <w:color w:val="000000"/>
          <w:kern w:val="0"/>
          <w:sz w:val="24"/>
          <w:szCs w:val="24"/>
        </w:rPr>
        <w:t>》（</w:t>
      </w:r>
      <w:hyperlink r:id="rId8" w:tgtFrame="_blank" w:tooltip="工信部联产业〔2017〕30号《关于利用综合标准依法依规推动落后产能退出的指导意见》" w:history="1">
        <w:r w:rsidRPr="008C72FE">
          <w:rPr>
            <w:rFonts w:ascii="微软雅黑" w:eastAsia="微软雅黑" w:hAnsi="微软雅黑" w:cs="宋体" w:hint="eastAsia"/>
            <w:color w:val="3D3D3D"/>
            <w:kern w:val="0"/>
            <w:sz w:val="24"/>
            <w:szCs w:val="24"/>
          </w:rPr>
          <w:t>工信部联产业〔2017〕30号</w:t>
        </w:r>
      </w:hyperlink>
      <w:r w:rsidRPr="008C72FE">
        <w:rPr>
          <w:rFonts w:ascii="微软雅黑" w:eastAsia="微软雅黑" w:hAnsi="微软雅黑" w:cs="宋体" w:hint="eastAsia"/>
          <w:color w:val="000000"/>
          <w:kern w:val="0"/>
          <w:sz w:val="24"/>
          <w:szCs w:val="24"/>
        </w:rPr>
        <w:t>），要求通过严格常态</w:t>
      </w:r>
      <w:proofErr w:type="gramStart"/>
      <w:r w:rsidRPr="008C72FE">
        <w:rPr>
          <w:rFonts w:ascii="微软雅黑" w:eastAsia="微软雅黑" w:hAnsi="微软雅黑" w:cs="宋体" w:hint="eastAsia"/>
          <w:color w:val="000000"/>
          <w:kern w:val="0"/>
          <w:sz w:val="24"/>
          <w:szCs w:val="24"/>
        </w:rPr>
        <w:t>化执法</w:t>
      </w:r>
      <w:proofErr w:type="gramEnd"/>
      <w:r w:rsidRPr="008C72FE">
        <w:rPr>
          <w:rFonts w:ascii="微软雅黑" w:eastAsia="微软雅黑" w:hAnsi="微软雅黑" w:cs="宋体" w:hint="eastAsia"/>
          <w:color w:val="000000"/>
          <w:kern w:val="0"/>
          <w:sz w:val="24"/>
          <w:szCs w:val="24"/>
        </w:rPr>
        <w:t>和强制性标准实施，促使一批能耗、环保、安全、技术达不到标准和生产不合格产品或淘汰类产能，依法依规关停退出。为贯彻落实淘汰落后产能工作部署，国家安全监管总局决定自2017年5月至2019年12月，利用两年</w:t>
      </w:r>
      <w:r w:rsidRPr="008C72FE">
        <w:rPr>
          <w:rFonts w:ascii="微软雅黑" w:eastAsia="微软雅黑" w:hAnsi="微软雅黑" w:cs="宋体" w:hint="eastAsia"/>
          <w:color w:val="000000"/>
          <w:kern w:val="0"/>
          <w:sz w:val="24"/>
          <w:szCs w:val="24"/>
        </w:rPr>
        <w:lastRenderedPageBreak/>
        <w:t>半时间在全国开展水泥企业（包括具有完整水泥生产线企业、生产水泥熟料企业及水泥</w:t>
      </w:r>
      <w:proofErr w:type="gramStart"/>
      <w:r w:rsidRPr="008C72FE">
        <w:rPr>
          <w:rFonts w:ascii="微软雅黑" w:eastAsia="微软雅黑" w:hAnsi="微软雅黑" w:cs="宋体" w:hint="eastAsia"/>
          <w:color w:val="000000"/>
          <w:kern w:val="0"/>
          <w:sz w:val="24"/>
          <w:szCs w:val="24"/>
        </w:rPr>
        <w:t>粉磨站等</w:t>
      </w:r>
      <w:proofErr w:type="gramEnd"/>
      <w:r w:rsidRPr="008C72FE">
        <w:rPr>
          <w:rFonts w:ascii="微软雅黑" w:eastAsia="微软雅黑" w:hAnsi="微软雅黑" w:cs="宋体" w:hint="eastAsia"/>
          <w:color w:val="000000"/>
          <w:kern w:val="0"/>
          <w:sz w:val="24"/>
          <w:szCs w:val="24"/>
        </w:rPr>
        <w:t>）安全生产和职业健康执法专项行动（以下简称执法专项行动）。现将有关事项通知如下：</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b/>
          <w:bCs/>
          <w:color w:val="800080"/>
          <w:kern w:val="0"/>
          <w:sz w:val="24"/>
          <w:szCs w:val="24"/>
        </w:rPr>
        <w:br/>
        <w:t>一、重要意义</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2013年11月，国家安全监管总局组织开展了为期一年的水泥企业粉尘危害集中治理，包装和装车环节综合防尘工程治理取得了一定成效。但整体上看，水泥企业粉尘防治工作仍有较大差距，问题集中表现为部分企业在包装、装车环节除尘效果达不到标准要求，很多企业使用的水泥包装袋质量差、漏</w:t>
      </w:r>
      <w:proofErr w:type="gramStart"/>
      <w:r w:rsidRPr="008C72FE">
        <w:rPr>
          <w:rFonts w:ascii="微软雅黑" w:eastAsia="微软雅黑" w:hAnsi="微软雅黑" w:cs="宋体" w:hint="eastAsia"/>
          <w:color w:val="000000"/>
          <w:kern w:val="0"/>
          <w:sz w:val="24"/>
          <w:szCs w:val="24"/>
        </w:rPr>
        <w:t>灰喷灰</w:t>
      </w:r>
      <w:proofErr w:type="gramEnd"/>
      <w:r w:rsidRPr="008C72FE">
        <w:rPr>
          <w:rFonts w:ascii="微软雅黑" w:eastAsia="微软雅黑" w:hAnsi="微软雅黑" w:cs="宋体" w:hint="eastAsia"/>
          <w:color w:val="000000"/>
          <w:kern w:val="0"/>
          <w:sz w:val="24"/>
          <w:szCs w:val="24"/>
        </w:rPr>
        <w:t>严重，需要进一步加大治理力度。各级安全监管部门要深刻认识到淘汰水泥落后产能与提高水泥企业粉尘防治水平是相互促进的工作，充分利用淘汰落后产能有利契机，认真组织开展执法专项行动，通过严格执法关闭工艺技术落后、职业病危害严重的水泥企业，切实提高整个水泥行业的职业健康水平。</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b/>
          <w:bCs/>
          <w:color w:val="800080"/>
          <w:kern w:val="0"/>
          <w:sz w:val="24"/>
          <w:szCs w:val="24"/>
        </w:rPr>
        <w:t>二、目标要求</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认真落实党中央、国务院关于淘汰落后产能决策部署，严格落实安全生产和职业健康法规标准，强化监管执法，推动水泥行业落后产能关停退出，提高水泥行业安全生产和职业健康水平，维护广大劳动者职业安全健康权益。要突出对包装和装车环节的治理改造，选用质量高、防尘效果好的水泥包装袋。经过治理后，所有水泥企业应满足下列安全生产和职业健康要求：</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lastRenderedPageBreak/>
        <w:br/>
        <w:t>（一）包装机周围必须安装围档，其底部、接包机、正包机、清包机、装车机、输送皮带转接处必须设置密闭除尘装置。</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（二）包装和装车岗位水泥粉尘浓度不得超过《工作场所有害因素职业接触限值》（GBZ2.1-2007）规定，即：时间加权平均</w:t>
      </w:r>
      <w:proofErr w:type="gramStart"/>
      <w:r w:rsidRPr="008C72FE">
        <w:rPr>
          <w:rFonts w:ascii="微软雅黑" w:eastAsia="微软雅黑" w:hAnsi="微软雅黑" w:cs="宋体" w:hint="eastAsia"/>
          <w:color w:val="000000"/>
          <w:kern w:val="0"/>
          <w:sz w:val="24"/>
          <w:szCs w:val="24"/>
        </w:rPr>
        <w:t>浓度总尘限值</w:t>
      </w:r>
      <w:proofErr w:type="gramEnd"/>
      <w:r w:rsidRPr="008C72FE">
        <w:rPr>
          <w:rFonts w:ascii="微软雅黑" w:eastAsia="微软雅黑" w:hAnsi="微软雅黑" w:cs="宋体" w:hint="eastAsia"/>
          <w:color w:val="000000"/>
          <w:kern w:val="0"/>
          <w:sz w:val="24"/>
          <w:szCs w:val="24"/>
        </w:rPr>
        <w:t>4mg/m3、呼尘限值1.5mg/m3。</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三）安全生产标准化未达标企业，必须在2018年6月30日前整改到位；安全生产标准化三级企业，必须在2018年12月31日前整改到位；安全生产标准化一、二级企业，必须在2019年12月31日前整改到位。鼓励安全生产标准化一、二级企业提前完成整改。</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b/>
          <w:bCs/>
          <w:color w:val="800080"/>
          <w:kern w:val="0"/>
          <w:sz w:val="24"/>
          <w:szCs w:val="24"/>
        </w:rPr>
        <w:t>三、实施步骤</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（一）宣传发动阶段。2017年9月底前，各级安全监管部门组织辖区内水泥企业进行动员部署，明确治理重点、治理要求和治理时限。</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二）企业自查阶段。2017年12月底前，各水泥企业自行或聘请技术专家或机构对照标准开展自查，针对存在的问题研究制定切实可行的整改方案，整改方案应包括水泥包装和装车岗位存在的问题以及整改措施、整改时限和资金投入等，并经主要负责人签字确认。</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lastRenderedPageBreak/>
        <w:br/>
        <w:t>（三）整改治理阶段。企业按照整改方案进行整改治理，在企业整改治理期间，安全监管部门应随机抽取部分企业进行监督检查，强化对企业整改治理工作的督促指导，对发现的问题要提出明确的整改要求。国家安全监管总局将适时组织进行抽查。</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四）组织核查阶段。2019年12月底前，各级安全监管部门要完成对企业整改治理情况的核查工作。提前完成整改治理的企业，可以主动向安全监管部门申请核查。对于到期未整改的或整改后仍不具备安全生产和职业健康条件的企业，要提请地方政府依法予以关闭。</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b/>
          <w:bCs/>
          <w:color w:val="800080"/>
          <w:kern w:val="0"/>
          <w:sz w:val="24"/>
          <w:szCs w:val="24"/>
        </w:rPr>
        <w:t>四、工作要求</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（一）加强组织领导。各级安全监管部门要加强对执法专项行动的组织领导，明确牵头处室、工作责任和工作任务，结合实际制定具体的工作方案，确保执法专项行动扎实有效开展。</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（二）强化监督考核。上级安全监管部门要加强对下级安全监管部门的监督、指导和帮助，及时解决专项执法工作中存在的问题。执法专项行动落实情况将纳入对各地区的安全生产责任考核范围。</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（三）及时报送信息。各省级安全监管部门要按时间要求向国家安全监管总局报</w:t>
      </w:r>
      <w:r w:rsidRPr="008C72FE">
        <w:rPr>
          <w:rFonts w:ascii="微软雅黑" w:eastAsia="微软雅黑" w:hAnsi="微软雅黑" w:cs="宋体" w:hint="eastAsia"/>
          <w:color w:val="000000"/>
          <w:kern w:val="0"/>
          <w:sz w:val="24"/>
          <w:szCs w:val="24"/>
        </w:rPr>
        <w:lastRenderedPageBreak/>
        <w:t>送信息：2017年12月31日前，报送辖区内水泥企业现状汇总表（见附件1）；从2018年1月1日起，每半年报送一次核查达标企业名单（见附件2）；分别于2019年2月底和2020年2月底前报送执法专项行动总结和水泥企业核查情况汇总表（见附件3）。联系人及电话：孙栋梁，010-64463004（带传真）。</w:t>
      </w:r>
      <w:r w:rsidRPr="008C72FE">
        <w:rPr>
          <w:rFonts w:ascii="微软雅黑" w:eastAsia="微软雅黑" w:hAnsi="微软雅黑" w:cs="宋体" w:hint="eastAsia"/>
          <w:color w:val="000000"/>
          <w:kern w:val="0"/>
          <w:sz w:val="24"/>
          <w:szCs w:val="24"/>
        </w:rPr>
        <w:br/>
      </w:r>
      <w:r w:rsidRPr="008C72FE">
        <w:rPr>
          <w:rFonts w:ascii="微软雅黑" w:eastAsia="微软雅黑" w:hAnsi="微软雅黑" w:cs="宋体" w:hint="eastAsia"/>
          <w:color w:val="000000"/>
          <w:kern w:val="0"/>
          <w:sz w:val="24"/>
          <w:szCs w:val="24"/>
        </w:rPr>
        <w:br/>
        <w:t>（四）搞好舆论监督。要充分利用各种媒体，加强对执法专项行动的宣传报道，营造开展工作的良好氛围。对于整改治理工作有特色的企业，要进行总结推广；对于问题严重拒不整改的企业，要公开曝光，并纳入安全生产不良记录“黑名单”管理。</w:t>
      </w:r>
      <w:r w:rsidRPr="008C72FE">
        <w:rPr>
          <w:rFonts w:ascii="微软雅黑" w:eastAsia="微软雅黑" w:hAnsi="微软雅黑" w:cs="宋体" w:hint="eastAsia"/>
          <w:color w:val="000000"/>
          <w:kern w:val="0"/>
          <w:sz w:val="24"/>
          <w:szCs w:val="24"/>
        </w:rPr>
        <w:br/>
        <w:t> </w:t>
      </w:r>
    </w:p>
    <w:p w:rsidR="0015354A" w:rsidRPr="008C72FE" w:rsidRDefault="008C72FE">
      <w:r>
        <w:rPr>
          <w:rStyle w:val="a6"/>
          <w:rFonts w:ascii="微软雅黑" w:eastAsia="微软雅黑" w:hAnsi="微软雅黑" w:hint="eastAsia"/>
          <w:color w:val="000000"/>
          <w:shd w:val="clear" w:color="auto" w:fill="FFFFFF"/>
        </w:rPr>
        <w:t>附件：</w:t>
      </w:r>
      <w:r>
        <w:rPr>
          <w:rFonts w:ascii="微软雅黑" w:eastAsia="微软雅黑" w:hAnsi="微软雅黑" w:hint="eastAsia"/>
          <w:b/>
          <w:bCs/>
          <w:color w:val="000000"/>
          <w:shd w:val="clear" w:color="auto" w:fill="FFFFFF"/>
        </w:rPr>
        <w:br/>
      </w:r>
      <w:r>
        <w:rPr>
          <w:rFonts w:ascii="微软雅黑" w:eastAsia="微软雅黑" w:hAnsi="微软雅黑" w:hint="eastAsia"/>
          <w:b/>
          <w:bCs/>
          <w:color w:val="FF6600"/>
          <w:shd w:val="clear" w:color="auto" w:fill="FFFFFF"/>
        </w:rPr>
        <w:br/>
      </w:r>
      <w:hyperlink r:id="rId9" w:history="1">
        <w:r>
          <w:rPr>
            <w:rStyle w:val="a7"/>
            <w:rFonts w:ascii="微软雅黑" w:eastAsia="微软雅黑" w:hAnsi="微软雅黑" w:hint="eastAsia"/>
            <w:b/>
            <w:bCs/>
            <w:color w:val="FF6600"/>
            <w:shd w:val="clear" w:color="auto" w:fill="FFFFFF"/>
          </w:rPr>
          <w:t xml:space="preserve">1.水 </w:t>
        </w:r>
        <w:proofErr w:type="gramStart"/>
        <w:r>
          <w:rPr>
            <w:rStyle w:val="a7"/>
            <w:rFonts w:ascii="微软雅黑" w:eastAsia="微软雅黑" w:hAnsi="微软雅黑" w:hint="eastAsia"/>
            <w:b/>
            <w:bCs/>
            <w:color w:val="FF6600"/>
            <w:shd w:val="clear" w:color="auto" w:fill="FFFFFF"/>
          </w:rPr>
          <w:t>泥企业</w:t>
        </w:r>
        <w:proofErr w:type="gramEnd"/>
        <w:r>
          <w:rPr>
            <w:rStyle w:val="a7"/>
            <w:rFonts w:ascii="微软雅黑" w:eastAsia="微软雅黑" w:hAnsi="微软雅黑" w:hint="eastAsia"/>
            <w:b/>
            <w:bCs/>
            <w:color w:val="FF6600"/>
            <w:shd w:val="clear" w:color="auto" w:fill="FFFFFF"/>
          </w:rPr>
          <w:t>现 状汇总表</w:t>
        </w:r>
      </w:hyperlink>
      <w:r>
        <w:rPr>
          <w:rFonts w:ascii="微软雅黑" w:eastAsia="微软雅黑" w:hAnsi="微软雅黑" w:hint="eastAsia"/>
          <w:b/>
          <w:bCs/>
          <w:color w:val="FF6600"/>
          <w:shd w:val="clear" w:color="auto" w:fill="FFFFFF"/>
        </w:rPr>
        <w:br/>
      </w:r>
      <w:r>
        <w:rPr>
          <w:rFonts w:ascii="微软雅黑" w:eastAsia="微软雅黑" w:hAnsi="微软雅黑" w:hint="eastAsia"/>
          <w:b/>
          <w:bCs/>
          <w:color w:val="FF6600"/>
          <w:shd w:val="clear" w:color="auto" w:fill="FFFFFF"/>
        </w:rPr>
        <w:br/>
      </w:r>
      <w:hyperlink r:id="rId10" w:history="1">
        <w:r>
          <w:rPr>
            <w:rStyle w:val="a7"/>
            <w:rFonts w:ascii="微软雅黑" w:eastAsia="微软雅黑" w:hAnsi="微软雅黑" w:hint="eastAsia"/>
            <w:b/>
            <w:bCs/>
            <w:color w:val="FF6600"/>
            <w:shd w:val="clear" w:color="auto" w:fill="FFFFFF"/>
          </w:rPr>
          <w:t>2.</w:t>
        </w:r>
        <w:proofErr w:type="gramStart"/>
        <w:r>
          <w:rPr>
            <w:rStyle w:val="a7"/>
            <w:rFonts w:ascii="微软雅黑" w:eastAsia="微软雅黑" w:hAnsi="微软雅黑" w:hint="eastAsia"/>
            <w:b/>
            <w:bCs/>
            <w:color w:val="FF6600"/>
            <w:shd w:val="clear" w:color="auto" w:fill="FFFFFF"/>
          </w:rPr>
          <w:t>核查达 标企业</w:t>
        </w:r>
        <w:proofErr w:type="gramEnd"/>
        <w:r>
          <w:rPr>
            <w:rStyle w:val="a7"/>
            <w:rFonts w:ascii="微软雅黑" w:eastAsia="微软雅黑" w:hAnsi="微软雅黑" w:hint="eastAsia"/>
            <w:b/>
            <w:bCs/>
            <w:color w:val="FF6600"/>
            <w:shd w:val="clear" w:color="auto" w:fill="FFFFFF"/>
          </w:rPr>
          <w:t>汇总表</w:t>
        </w:r>
      </w:hyperlink>
      <w:r>
        <w:rPr>
          <w:rFonts w:ascii="微软雅黑" w:eastAsia="微软雅黑" w:hAnsi="微软雅黑" w:hint="eastAsia"/>
          <w:b/>
          <w:bCs/>
          <w:color w:val="FF6600"/>
          <w:shd w:val="clear" w:color="auto" w:fill="FFFFFF"/>
        </w:rPr>
        <w:br/>
      </w:r>
      <w:r>
        <w:rPr>
          <w:rFonts w:ascii="微软雅黑" w:eastAsia="微软雅黑" w:hAnsi="微软雅黑" w:hint="eastAsia"/>
          <w:b/>
          <w:bCs/>
          <w:color w:val="FF6600"/>
          <w:shd w:val="clear" w:color="auto" w:fill="FFFFFF"/>
        </w:rPr>
        <w:br/>
      </w:r>
      <w:hyperlink r:id="rId11" w:history="1">
        <w:r>
          <w:rPr>
            <w:rStyle w:val="a7"/>
            <w:rFonts w:ascii="微软雅黑" w:eastAsia="微软雅黑" w:hAnsi="微软雅黑" w:hint="eastAsia"/>
            <w:b/>
            <w:bCs/>
            <w:color w:val="FF6600"/>
            <w:shd w:val="clear" w:color="auto" w:fill="FFFFFF"/>
          </w:rPr>
          <w:t xml:space="preserve">3.水 </w:t>
        </w:r>
        <w:proofErr w:type="gramStart"/>
        <w:r>
          <w:rPr>
            <w:rStyle w:val="a7"/>
            <w:rFonts w:ascii="微软雅黑" w:eastAsia="微软雅黑" w:hAnsi="微软雅黑" w:hint="eastAsia"/>
            <w:b/>
            <w:bCs/>
            <w:color w:val="FF6600"/>
            <w:shd w:val="clear" w:color="auto" w:fill="FFFFFF"/>
          </w:rPr>
          <w:t>泥企业</w:t>
        </w:r>
        <w:proofErr w:type="gramEnd"/>
        <w:r>
          <w:rPr>
            <w:rStyle w:val="a7"/>
            <w:rFonts w:ascii="微软雅黑" w:eastAsia="微软雅黑" w:hAnsi="微软雅黑" w:hint="eastAsia"/>
            <w:b/>
            <w:bCs/>
            <w:color w:val="FF6600"/>
            <w:shd w:val="clear" w:color="auto" w:fill="FFFFFF"/>
          </w:rPr>
          <w:t xml:space="preserve">核查情 </w:t>
        </w:r>
        <w:proofErr w:type="gramStart"/>
        <w:r>
          <w:rPr>
            <w:rStyle w:val="a7"/>
            <w:rFonts w:ascii="微软雅黑" w:eastAsia="微软雅黑" w:hAnsi="微软雅黑" w:hint="eastAsia"/>
            <w:b/>
            <w:bCs/>
            <w:color w:val="FF6600"/>
            <w:shd w:val="clear" w:color="auto" w:fill="FFFFFF"/>
          </w:rPr>
          <w:t>况</w:t>
        </w:r>
        <w:proofErr w:type="gramEnd"/>
        <w:r>
          <w:rPr>
            <w:rStyle w:val="a7"/>
            <w:rFonts w:ascii="微软雅黑" w:eastAsia="微软雅黑" w:hAnsi="微软雅黑" w:hint="eastAsia"/>
            <w:b/>
            <w:bCs/>
            <w:color w:val="FF6600"/>
            <w:shd w:val="clear" w:color="auto" w:fill="FFFFFF"/>
          </w:rPr>
          <w:t>汇总表</w:t>
        </w:r>
      </w:hyperlink>
    </w:p>
    <w:sectPr w:rsidR="0015354A" w:rsidRPr="008C7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AC" w:rsidRDefault="007242AC" w:rsidP="008C72FE">
      <w:r>
        <w:separator/>
      </w:r>
    </w:p>
  </w:endnote>
  <w:endnote w:type="continuationSeparator" w:id="0">
    <w:p w:rsidR="007242AC" w:rsidRDefault="007242AC" w:rsidP="008C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AC" w:rsidRDefault="007242AC" w:rsidP="008C72FE">
      <w:r>
        <w:separator/>
      </w:r>
    </w:p>
  </w:footnote>
  <w:footnote w:type="continuationSeparator" w:id="0">
    <w:p w:rsidR="007242AC" w:rsidRDefault="007242AC" w:rsidP="008C7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2A"/>
    <w:rsid w:val="0015354A"/>
    <w:rsid w:val="007242AC"/>
    <w:rsid w:val="008C72FE"/>
    <w:rsid w:val="00E70E0C"/>
    <w:rsid w:val="00F3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72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2FE"/>
    <w:rPr>
      <w:sz w:val="18"/>
      <w:szCs w:val="18"/>
    </w:rPr>
  </w:style>
  <w:style w:type="paragraph" w:styleId="a4">
    <w:name w:val="footer"/>
    <w:basedOn w:val="a"/>
    <w:link w:val="Char0"/>
    <w:uiPriority w:val="99"/>
    <w:unhideWhenUsed/>
    <w:rsid w:val="008C72FE"/>
    <w:pPr>
      <w:tabs>
        <w:tab w:val="center" w:pos="4153"/>
        <w:tab w:val="right" w:pos="8306"/>
      </w:tabs>
      <w:snapToGrid w:val="0"/>
      <w:jc w:val="left"/>
    </w:pPr>
    <w:rPr>
      <w:sz w:val="18"/>
      <w:szCs w:val="18"/>
    </w:rPr>
  </w:style>
  <w:style w:type="character" w:customStyle="1" w:styleId="Char0">
    <w:name w:val="页脚 Char"/>
    <w:basedOn w:val="a0"/>
    <w:link w:val="a4"/>
    <w:uiPriority w:val="99"/>
    <w:rsid w:val="008C72FE"/>
    <w:rPr>
      <w:sz w:val="18"/>
      <w:szCs w:val="18"/>
    </w:rPr>
  </w:style>
  <w:style w:type="character" w:customStyle="1" w:styleId="1Char">
    <w:name w:val="标题 1 Char"/>
    <w:basedOn w:val="a0"/>
    <w:link w:val="1"/>
    <w:uiPriority w:val="9"/>
    <w:rsid w:val="008C72FE"/>
    <w:rPr>
      <w:rFonts w:ascii="宋体" w:eastAsia="宋体" w:hAnsi="宋体" w:cs="宋体"/>
      <w:b/>
      <w:bCs/>
      <w:kern w:val="36"/>
      <w:sz w:val="48"/>
      <w:szCs w:val="48"/>
    </w:rPr>
  </w:style>
  <w:style w:type="paragraph" w:styleId="a5">
    <w:name w:val="Normal (Web)"/>
    <w:basedOn w:val="a"/>
    <w:uiPriority w:val="99"/>
    <w:semiHidden/>
    <w:unhideWhenUsed/>
    <w:rsid w:val="008C72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72FE"/>
    <w:rPr>
      <w:b/>
      <w:bCs/>
    </w:rPr>
  </w:style>
  <w:style w:type="character" w:styleId="a7">
    <w:name w:val="Hyperlink"/>
    <w:basedOn w:val="a0"/>
    <w:uiPriority w:val="99"/>
    <w:semiHidden/>
    <w:unhideWhenUsed/>
    <w:rsid w:val="008C72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72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2FE"/>
    <w:rPr>
      <w:sz w:val="18"/>
      <w:szCs w:val="18"/>
    </w:rPr>
  </w:style>
  <w:style w:type="paragraph" w:styleId="a4">
    <w:name w:val="footer"/>
    <w:basedOn w:val="a"/>
    <w:link w:val="Char0"/>
    <w:uiPriority w:val="99"/>
    <w:unhideWhenUsed/>
    <w:rsid w:val="008C72FE"/>
    <w:pPr>
      <w:tabs>
        <w:tab w:val="center" w:pos="4153"/>
        <w:tab w:val="right" w:pos="8306"/>
      </w:tabs>
      <w:snapToGrid w:val="0"/>
      <w:jc w:val="left"/>
    </w:pPr>
    <w:rPr>
      <w:sz w:val="18"/>
      <w:szCs w:val="18"/>
    </w:rPr>
  </w:style>
  <w:style w:type="character" w:customStyle="1" w:styleId="Char0">
    <w:name w:val="页脚 Char"/>
    <w:basedOn w:val="a0"/>
    <w:link w:val="a4"/>
    <w:uiPriority w:val="99"/>
    <w:rsid w:val="008C72FE"/>
    <w:rPr>
      <w:sz w:val="18"/>
      <w:szCs w:val="18"/>
    </w:rPr>
  </w:style>
  <w:style w:type="character" w:customStyle="1" w:styleId="1Char">
    <w:name w:val="标题 1 Char"/>
    <w:basedOn w:val="a0"/>
    <w:link w:val="1"/>
    <w:uiPriority w:val="9"/>
    <w:rsid w:val="008C72FE"/>
    <w:rPr>
      <w:rFonts w:ascii="宋体" w:eastAsia="宋体" w:hAnsi="宋体" w:cs="宋体"/>
      <w:b/>
      <w:bCs/>
      <w:kern w:val="36"/>
      <w:sz w:val="48"/>
      <w:szCs w:val="48"/>
    </w:rPr>
  </w:style>
  <w:style w:type="paragraph" w:styleId="a5">
    <w:name w:val="Normal (Web)"/>
    <w:basedOn w:val="a"/>
    <w:uiPriority w:val="99"/>
    <w:semiHidden/>
    <w:unhideWhenUsed/>
    <w:rsid w:val="008C72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72FE"/>
    <w:rPr>
      <w:b/>
      <w:bCs/>
    </w:rPr>
  </w:style>
  <w:style w:type="character" w:styleId="a7">
    <w:name w:val="Hyperlink"/>
    <w:basedOn w:val="a0"/>
    <w:uiPriority w:val="99"/>
    <w:semiHidden/>
    <w:unhideWhenUsed/>
    <w:rsid w:val="008C72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0594">
      <w:bodyDiv w:val="1"/>
      <w:marLeft w:val="0"/>
      <w:marRight w:val="0"/>
      <w:marTop w:val="0"/>
      <w:marBottom w:val="0"/>
      <w:divBdr>
        <w:top w:val="none" w:sz="0" w:space="0" w:color="auto"/>
        <w:left w:val="none" w:sz="0" w:space="0" w:color="auto"/>
        <w:bottom w:val="none" w:sz="0" w:space="0" w:color="auto"/>
        <w:right w:val="none" w:sz="0" w:space="0" w:color="auto"/>
      </w:divBdr>
      <w:divsChild>
        <w:div w:id="972055593">
          <w:marLeft w:val="0"/>
          <w:marRight w:val="0"/>
          <w:marTop w:val="900"/>
          <w:marBottom w:val="0"/>
          <w:divBdr>
            <w:top w:val="none" w:sz="0" w:space="0" w:color="auto"/>
            <w:left w:val="none" w:sz="0" w:space="0" w:color="auto"/>
            <w:bottom w:val="single" w:sz="12" w:space="0" w:color="333333"/>
            <w:right w:val="none" w:sz="0" w:space="0" w:color="auto"/>
          </w:divBdr>
          <w:divsChild>
            <w:div w:id="809321211">
              <w:marLeft w:val="0"/>
              <w:marRight w:val="150"/>
              <w:marTop w:val="150"/>
              <w:marBottom w:val="0"/>
              <w:divBdr>
                <w:top w:val="none" w:sz="0" w:space="0" w:color="auto"/>
                <w:left w:val="none" w:sz="0" w:space="0" w:color="auto"/>
                <w:bottom w:val="none" w:sz="0" w:space="0" w:color="auto"/>
                <w:right w:val="none" w:sz="0" w:space="0" w:color="auto"/>
              </w:divBdr>
            </w:div>
          </w:divsChild>
        </w:div>
        <w:div w:id="34999238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1782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izi.org.cn/law/17828.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inasafety.gov.cn/newpage/newfiles/snqyhcqkzb.pdf" TargetMode="External"/><Relationship Id="rId5" Type="http://schemas.openxmlformats.org/officeDocument/2006/relationships/footnotes" Target="footnotes.xml"/><Relationship Id="rId10" Type="http://schemas.openxmlformats.org/officeDocument/2006/relationships/hyperlink" Target="http://www.chinasafety.gov.cn/newpage/newfiles/hcdbqyh.pdf" TargetMode="External"/><Relationship Id="rId4" Type="http://schemas.openxmlformats.org/officeDocument/2006/relationships/webSettings" Target="webSettings.xml"/><Relationship Id="rId9" Type="http://schemas.openxmlformats.org/officeDocument/2006/relationships/hyperlink" Target="http://www.chinasafety.gov.cn/newpage/newfiles/snqyxz.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2017-11-06T00:42:00Z</dcterms:created>
  <dcterms:modified xsi:type="dcterms:W3CDTF">2017-11-06T00:44:00Z</dcterms:modified>
</cp:coreProperties>
</file>